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pPr>
      <w:r>
        <w:rPr>
          <w:bCs/>
          <w:b/>
        </w:rPr>
        <w:t xml:space="preserve">TRƯỜNG THCS VÕ THỊ SÁU</w:t>
      </w:r>
      <w:r>
        <w:br/>
      </w:r>
      <w:r>
        <w:rPr>
          <w:bCs/>
          <w:b/>
        </w:rPr>
        <w:t xml:space="preserve">TỔ KHOA HỌC TỰ NHIÊN</w:t>
      </w:r>
    </w:p>
    <w:bookmarkStart w:id="28" w:name="X099c4924d1a597b52a9169ef8b82c5466f74cb9"/>
    <w:p>
      <w:pPr>
        <w:pStyle w:val="Heading1"/>
        <w:spacing w:after="80"/>
        <w:jc w:val="center"/>
      </w:pPr>
      <w:r>
        <w:rPr>
          <w:color w:val="151D33"/>
        </w:rPr>
        <w:t xml:space="preserve">BÀI HỌC STEM: PIZZA TOÁN HỌC – CHIA SẺ CÔNG BẰNG</w:t>
      </w:r>
    </w:p>
    <w:p>
      <w:pPr>
        <w:pStyle w:val="FirstParagraph"/>
        <w:spacing w:after="80"/>
      </w:pPr>
      <w:r>
        <w:rPr>
          <w:iCs/>
          <w:i/>
        </w:rPr>
        <w:t xml:space="preserve">Kế hoạch bài dạy · Môn Toán 7 · Năm học 2026 – 2027</w:t>
      </w:r>
    </w:p>
    <w:p>
      <w:pPr>
        <w:pStyle w:val="BodyText"/>
        <w:spacing w:after="80"/>
      </w:pPr>
      <w:r>
        <w:rPr>
          <w:bCs/>
          <w:b/>
        </w:rPr>
        <w:t xml:space="preserve">Môn:</w:t>
      </w:r>
      <w:r>
        <w:t xml:space="preserve"> </w:t>
      </w:r>
      <w:r>
        <w:t xml:space="preserve">Toán 7 ·</w:t>
      </w:r>
      <w:r>
        <w:t xml:space="preserve"> </w:t>
      </w:r>
      <w:r>
        <w:rPr>
          <w:bCs/>
          <w:b/>
        </w:rPr>
        <w:t xml:space="preserve">Sản phẩm:</w:t>
      </w:r>
      <w:r>
        <w:t xml:space="preserve"> </w:t>
      </w:r>
      <w:r>
        <w:t xml:space="preserve">Mô hình bánh pizza giấy chia phần theo tỉ lệ đóng góp ·</w:t>
      </w:r>
      <w:r>
        <w:t xml:space="preserve"> </w:t>
      </w:r>
      <w:r>
        <w:rPr>
          <w:bCs/>
          <w:b/>
        </w:rPr>
        <w:t xml:space="preserve">Thời lượng:</w:t>
      </w:r>
      <w:r>
        <w:t xml:space="preserve"> </w:t>
      </w:r>
      <w:r>
        <w:t xml:space="preserve">2 tiết chính khóa + 1 buổi chế tạo ·</w:t>
      </w:r>
      <w:r>
        <w:t xml:space="preserve"> </w:t>
      </w:r>
      <w:r>
        <w:rPr>
          <w:bCs/>
          <w:b/>
        </w:rPr>
        <w:t xml:space="preserve">Kiểu bài:</w:t>
      </w:r>
      <w:r>
        <w:t xml:space="preserve"> </w:t>
      </w:r>
      <w:r>
        <w:t xml:space="preserve">thiết kế kĩ thuật (CV 3089)</w:t>
      </w:r>
    </w:p>
    <w:bookmarkStart w:id="20" w:name="i.-mục-tiêu"/>
    <w:p>
      <w:pPr>
        <w:pStyle w:val="Heading3"/>
        <w:spacing w:after="80"/>
      </w:pPr>
      <w:r>
        <w:rPr>
          <w:b/>
          <w:i w:val="0"/>
          <w:color w:val="151D33"/>
          <w:sz w:val="26"/>
        </w:rPr>
        <w:t xml:space="preserve">I. Mục tiêu</w:t>
      </w:r>
    </w:p>
    <w:p>
      <w:pPr>
        <w:pStyle w:val="FirstParagraph"/>
        <w:spacing w:after="80"/>
      </w:pPr>
      <w:r>
        <w:rPr>
          <w:bCs/>
          <w:b/>
        </w:rPr>
        <w:t xml:space="preserve">1. Kiến thức</w:t>
      </w:r>
      <w:r>
        <w:t xml:space="preserve"> </w:t>
      </w:r>
      <w:r>
        <w:rPr>
          <w:iCs/>
          <w:i/>
        </w:rPr>
        <w:t xml:space="preserve">(đã đối chiếu SGK Kết nối tri thức, có số trang)</w:t>
      </w:r>
    </w:p>
    <w:p>
      <w:pPr>
        <w:numPr>
          <w:ilvl w:val="0"/>
          <w:numId w:val="1001"/>
        </w:numPr>
        <w:pStyle w:val="Compact"/>
        <w:spacing w:after="80"/>
      </w:pPr>
      <w:r>
        <w:t xml:space="preserve">Tỉ lệ thức (SGK Toán 7 tập 2, Bài 20, tr.4)</w:t>
      </w:r>
    </w:p>
    <w:p>
      <w:pPr>
        <w:numPr>
          <w:ilvl w:val="0"/>
          <w:numId w:val="1001"/>
        </w:numPr>
        <w:pStyle w:val="Compact"/>
        <w:spacing w:after="80"/>
      </w:pPr>
      <w:r>
        <w:t xml:space="preserve">Tính chất của dãy tỉ số bằng nhau (Bài 21, tr.8)</w:t>
      </w:r>
    </w:p>
    <w:p>
      <w:pPr>
        <w:numPr>
          <w:ilvl w:val="0"/>
          <w:numId w:val="1001"/>
        </w:numPr>
        <w:pStyle w:val="Compact"/>
        <w:spacing w:after="80"/>
      </w:pPr>
      <w:r>
        <w:t xml:space="preserve">Đại lượng tỉ lệ thuận: chia một số thành các phần tỉ lệ (Bài 22, tr.11)</w:t>
      </w:r>
    </w:p>
    <w:p>
      <w:pPr>
        <w:numPr>
          <w:ilvl w:val="0"/>
          <w:numId w:val="1001"/>
        </w:numPr>
        <w:pStyle w:val="Compact"/>
        <w:spacing w:after="80"/>
      </w:pPr>
      <w:r>
        <w:t xml:space="preserve">Số đo góc, dùng thước đo góc (Toán 6 tập 2, Bài 37, tr.61); gắn với hoạt động trải nghiệm "Đại lượng tỉ lệ trong đời sống" (Toán 7 tập 2, tr.103)</w:t>
      </w:r>
    </w:p>
    <w:p>
      <w:pPr>
        <w:pStyle w:val="FirstParagraph"/>
        <w:spacing w:after="80"/>
      </w:pPr>
      <w:r>
        <w:rPr>
          <w:bCs/>
          <w:b/>
        </w:rPr>
        <w:t xml:space="preserve">2. Năng lực</w:t>
      </w:r>
    </w:p>
    <w:p>
      <w:pPr>
        <w:numPr>
          <w:ilvl w:val="0"/>
          <w:numId w:val="1002"/>
        </w:numPr>
        <w:pStyle w:val="Compact"/>
        <w:spacing w:after="80"/>
      </w:pPr>
      <w:r>
        <w:t xml:space="preserve">Năng lực chung: tự chủ và tự học; giao tiếp và hợp tác; giải quyết vấn đề và sáng tạo.</w:t>
      </w:r>
    </w:p>
    <w:p>
      <w:pPr>
        <w:numPr>
          <w:ilvl w:val="0"/>
          <w:numId w:val="1002"/>
        </w:numPr>
        <w:pStyle w:val="Compact"/>
        <w:spacing w:after="80"/>
      </w:pPr>
      <w:r>
        <w:t xml:space="preserve">Năng lực toán học: tư duy và lập luận toán học; mô hình hóa toán học; giải quyết vấn đề toán học; giao tiếp toán học; sử dụng công cụ, phương tiện học toán.</w:t>
      </w:r>
    </w:p>
    <w:p>
      <w:pPr>
        <w:pStyle w:val="FirstParagraph"/>
        <w:spacing w:after="80"/>
      </w:pPr>
      <w:r>
        <w:rPr>
          <w:bCs/>
          <w:b/>
        </w:rPr>
        <w:t xml:space="preserve">3. Phẩm chất:</w:t>
      </w:r>
      <w:r>
        <w:t xml:space="preserve"> </w:t>
      </w:r>
      <w:r>
        <w:t xml:space="preserve">chăm chỉ; trung thực khi ghi kết quả thử nghiệm; trách nhiệm với phần việc trong nhóm và với môi trường.</w:t>
      </w:r>
    </w:p>
    <w:bookmarkEnd w:id="20"/>
    <w:bookmarkStart w:id="21" w:name="ii.-vấn-đề-và-tiêu-chí-sản-phẩm"/>
    <w:p>
      <w:pPr>
        <w:pStyle w:val="Heading3"/>
        <w:spacing w:after="80"/>
      </w:pPr>
      <w:r>
        <w:rPr>
          <w:b/>
          <w:i w:val="0"/>
          <w:color w:val="151D33"/>
          <w:sz w:val="26"/>
        </w:rPr>
        <w:t xml:space="preserve">II. Vấn đề và tiêu chí sản phẩm</w:t>
      </w:r>
    </w:p>
    <w:p>
      <w:pPr>
        <w:pStyle w:val="FirstParagraph"/>
        <w:spacing w:after="80"/>
      </w:pPr>
      <w:r>
        <w:t xml:space="preserve">Ba bạn góp tiền mua chung một chiếc bánh pizza với số tiền khác nhau. Làm sao chia bánh công bằng theo đúng phần đóng góp, kể cả khi số miếng không chia hết?</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700"/>
        <w:gridCol w:w="5900"/>
        <w:gridCol w:w="2900"/>
      </w:tblGrid>
      <w:tr>
        <w:trPr>
          <w:tblHeader w:val="true"/>
        </w:trPr>
        <w:tc>
          <w:tcPr>
            <w:tcW w:type="dxa" w:w="700"/>
          </w:tcPr>
          <w:p>
            <w:pPr>
              <w:pStyle w:val="Compact"/>
              <w:jc w:val="left"/>
            </w:pPr>
            <w:r>
              <w:rPr>
                <w:b/>
                <w:sz w:val="24"/>
              </w:rPr>
              <w:t xml:space="preserve">TT</w:t>
            </w:r>
          </w:p>
        </w:tc>
        <w:tc>
          <w:tcPr>
            <w:tcW w:type="dxa" w:w="5900"/>
          </w:tcPr>
          <w:p>
            <w:pPr>
              <w:pStyle w:val="Compact"/>
              <w:jc w:val="left"/>
            </w:pPr>
            <w:r>
              <w:rPr>
                <w:b/>
                <w:sz w:val="24"/>
              </w:rPr>
              <w:t xml:space="preserve">Tiêu chí</w:t>
            </w:r>
          </w:p>
        </w:tc>
        <w:tc>
          <w:tcPr>
            <w:tcW w:type="dxa" w:w="2900"/>
          </w:tcPr>
          <w:p>
            <w:pPr>
              <w:pStyle w:val="Compact"/>
              <w:jc w:val="left"/>
            </w:pPr>
            <w:r>
              <w:rPr>
                <w:b/>
                <w:sz w:val="24"/>
              </w:rPr>
              <w:t xml:space="preserve">Cách kiểm tra</w:t>
            </w:r>
          </w:p>
        </w:tc>
      </w:tr>
      <w:tr>
        <w:tc>
          <w:tcPr>
            <w:tcW w:type="dxa" w:w="700"/>
          </w:tcPr>
          <w:p>
            <w:pPr>
              <w:pStyle w:val="Compact"/>
              <w:jc w:val="left"/>
            </w:pPr>
            <w:r>
              <w:rPr>
                <w:sz w:val="24"/>
              </w:rPr>
              <w:t xml:space="preserve">1</w:t>
            </w:r>
          </w:p>
        </w:tc>
        <w:tc>
          <w:tcPr>
            <w:tcW w:type="dxa" w:w="5900"/>
          </w:tcPr>
          <w:p>
            <w:pPr>
              <w:pStyle w:val="Compact"/>
              <w:jc w:val="left"/>
            </w:pPr>
            <w:r>
              <w:rPr>
                <w:sz w:val="24"/>
              </w:rPr>
              <w:t xml:space="preserve">Các phần bánh tỉ lệ đúng với số tiền góp</w:t>
            </w:r>
          </w:p>
        </w:tc>
        <w:tc>
          <w:tcPr>
            <w:tcW w:type="dxa" w:w="2900"/>
          </w:tcPr>
          <w:p>
            <w:pPr>
              <w:pStyle w:val="Compact"/>
              <w:jc w:val="left"/>
            </w:pPr>
            <w:r>
              <w:rPr>
                <w:sz w:val="24"/>
              </w:rPr>
              <w:t xml:space="preserve">Kiểm tra bảng tính dãy tỉ số</w:t>
            </w:r>
          </w:p>
        </w:tc>
      </w:tr>
      <w:tr>
        <w:tc>
          <w:tcPr>
            <w:tcW w:type="dxa" w:w="700"/>
          </w:tcPr>
          <w:p>
            <w:pPr>
              <w:pStyle w:val="Compact"/>
              <w:jc w:val="left"/>
            </w:pPr>
            <w:r>
              <w:rPr>
                <w:sz w:val="24"/>
              </w:rPr>
              <w:t xml:space="preserve">2</w:t>
            </w:r>
          </w:p>
        </w:tc>
        <w:tc>
          <w:tcPr>
            <w:tcW w:type="dxa" w:w="5900"/>
          </w:tcPr>
          <w:p>
            <w:pPr>
              <w:pStyle w:val="Compact"/>
              <w:jc w:val="left"/>
            </w:pPr>
            <w:r>
              <w:rPr>
                <w:sz w:val="24"/>
              </w:rPr>
              <w:t xml:space="preserve">Số đo góc mỗi phần sai số ≤ 2°</w:t>
            </w:r>
          </w:p>
        </w:tc>
        <w:tc>
          <w:tcPr>
            <w:tcW w:type="dxa" w:w="2900"/>
          </w:tcPr>
          <w:p>
            <w:pPr>
              <w:pStyle w:val="Compact"/>
              <w:jc w:val="left"/>
            </w:pPr>
            <w:r>
              <w:rPr>
                <w:sz w:val="24"/>
              </w:rPr>
              <w:t xml:space="preserve">Dùng thước đo góc</w:t>
            </w:r>
          </w:p>
        </w:tc>
      </w:tr>
      <w:tr>
        <w:tc>
          <w:tcPr>
            <w:tcW w:type="dxa" w:w="700"/>
          </w:tcPr>
          <w:p>
            <w:pPr>
              <w:pStyle w:val="Compact"/>
              <w:jc w:val="left"/>
            </w:pPr>
            <w:r>
              <w:rPr>
                <w:sz w:val="24"/>
              </w:rPr>
              <w:t xml:space="preserve">3</w:t>
            </w:r>
          </w:p>
        </w:tc>
        <w:tc>
          <w:tcPr>
            <w:tcW w:type="dxa" w:w="5900"/>
          </w:tcPr>
          <w:p>
            <w:pPr>
              <w:pStyle w:val="Compact"/>
              <w:jc w:val="left"/>
            </w:pPr>
            <w:r>
              <w:rPr>
                <w:sz w:val="24"/>
              </w:rPr>
              <w:t xml:space="preserve">Có bảng tính và lời giải rõ ràng</w:t>
            </w:r>
          </w:p>
        </w:tc>
        <w:tc>
          <w:tcPr>
            <w:tcW w:type="dxa" w:w="2900"/>
          </w:tcPr>
          <w:p>
            <w:pPr>
              <w:pStyle w:val="Compact"/>
              <w:jc w:val="left"/>
            </w:pPr>
            <w:r>
              <w:rPr>
                <w:sz w:val="24"/>
              </w:rPr>
              <w:t xml:space="preserve">Kiểm tra Phiếu 3</w:t>
            </w:r>
          </w:p>
        </w:tc>
      </w:tr>
      <w:tr>
        <w:tc>
          <w:tcPr>
            <w:tcW w:type="dxa" w:w="700"/>
          </w:tcPr>
          <w:p>
            <w:pPr>
              <w:pStyle w:val="Compact"/>
              <w:jc w:val="left"/>
            </w:pPr>
            <w:r>
              <w:rPr>
                <w:sz w:val="24"/>
              </w:rPr>
              <w:t xml:space="preserve">4</w:t>
            </w:r>
          </w:p>
        </w:tc>
        <w:tc>
          <w:tcPr>
            <w:tcW w:type="dxa" w:w="5900"/>
          </w:tcPr>
          <w:p>
            <w:pPr>
              <w:pStyle w:val="Compact"/>
              <w:jc w:val="left"/>
            </w:pPr>
            <w:r>
              <w:rPr>
                <w:sz w:val="24"/>
              </w:rPr>
              <w:t xml:space="preserve">Làm bằng giấy, bìa tái chế, trình bày đẹp</w:t>
            </w:r>
          </w:p>
        </w:tc>
        <w:tc>
          <w:tcPr>
            <w:tcW w:type="dxa" w:w="2900"/>
          </w:tcPr>
          <w:p>
            <w:pPr>
              <w:pStyle w:val="Compact"/>
              <w:jc w:val="left"/>
            </w:pPr>
            <w:r>
              <w:rPr>
                <w:sz w:val="24"/>
              </w:rPr>
              <w:t xml:space="preserve">Quan sát</w:t>
            </w:r>
          </w:p>
        </w:tc>
      </w:tr>
    </w:tbl>
    <w:bookmarkEnd w:id="21"/>
    <w:bookmarkStart w:id="22" w:name="iii.-thiết-bị-vật-liệu-mỗi-nhóm"/>
    <w:p>
      <w:pPr>
        <w:pStyle w:val="Heading3"/>
        <w:spacing w:after="80"/>
      </w:pPr>
      <w:r>
        <w:rPr>
          <w:b/>
          <w:i w:val="0"/>
          <w:color w:val="151D33"/>
          <w:sz w:val="26"/>
        </w:rPr>
        <w:t xml:space="preserve">III. Thiết bị, vật liệu (mỗi nhóm)</w:t>
      </w:r>
    </w:p>
    <w:p>
      <w:pPr>
        <w:numPr>
          <w:ilvl w:val="0"/>
          <w:numId w:val="1003"/>
        </w:numPr>
        <w:pStyle w:val="Compact"/>
        <w:spacing w:after="80"/>
      </w:pPr>
      <w:r>
        <w:t xml:space="preserve">Bìa carton tròn đường kính 25–30 cm</w:t>
      </w:r>
    </w:p>
    <w:p>
      <w:pPr>
        <w:numPr>
          <w:ilvl w:val="0"/>
          <w:numId w:val="1003"/>
        </w:numPr>
        <w:pStyle w:val="Compact"/>
        <w:spacing w:after="80"/>
      </w:pPr>
      <w:r>
        <w:t xml:space="preserve">Thước đo góc, compa, kéo đầu tròn</w:t>
      </w:r>
    </w:p>
    <w:p>
      <w:pPr>
        <w:numPr>
          <w:ilvl w:val="0"/>
          <w:numId w:val="1003"/>
        </w:numPr>
        <w:pStyle w:val="Compact"/>
        <w:spacing w:after="80"/>
      </w:pPr>
      <w:r>
        <w:t xml:space="preserve">Giấy màu, bút màu</w:t>
      </w:r>
    </w:p>
    <w:bookmarkEnd w:id="22"/>
    <w:bookmarkStart w:id="23" w:name="iv.-tiến-trình-dạy-học-5-hoạt-động-stem"/>
    <w:p>
      <w:pPr>
        <w:pStyle w:val="Heading3"/>
        <w:spacing w:after="80"/>
      </w:pPr>
      <w:r>
        <w:rPr>
          <w:b/>
          <w:i w:val="0"/>
          <w:color w:val="151D33"/>
          <w:sz w:val="26"/>
        </w:rPr>
        <w:t xml:space="preserve">IV. Tiến trình dạy học (5 hoạt động STEM)</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00"/>
        <w:gridCol w:w="6200"/>
        <w:gridCol w:w="1400"/>
      </w:tblGrid>
      <w:tr>
        <w:trPr>
          <w:tblHeader w:val="true"/>
        </w:trPr>
        <w:tc>
          <w:tcPr>
            <w:tcW w:type="dxa" w:w="1900"/>
          </w:tcPr>
          <w:p>
            <w:pPr>
              <w:pStyle w:val="Compact"/>
              <w:jc w:val="left"/>
            </w:pPr>
            <w:r>
              <w:rPr>
                <w:b/>
                <w:sz w:val="24"/>
              </w:rPr>
              <w:t xml:space="preserve">Thời điểm</w:t>
            </w:r>
          </w:p>
        </w:tc>
        <w:tc>
          <w:tcPr>
            <w:tcW w:type="dxa" w:w="6200"/>
          </w:tcPr>
          <w:p>
            <w:pPr>
              <w:pStyle w:val="Compact"/>
              <w:jc w:val="left"/>
            </w:pPr>
            <w:r>
              <w:rPr>
                <w:b/>
                <w:sz w:val="24"/>
              </w:rPr>
              <w:t xml:space="preserve">Hoạt động và tổ chức thực hiện</w:t>
            </w:r>
          </w:p>
        </w:tc>
        <w:tc>
          <w:tcPr>
            <w:tcW w:type="dxa" w:w="1400"/>
          </w:tcPr>
          <w:p>
            <w:pPr>
              <w:pStyle w:val="Compact"/>
              <w:jc w:val="left"/>
            </w:pPr>
            <w:r>
              <w:rPr>
                <w:b/>
                <w:sz w:val="24"/>
              </w:rPr>
              <w:t xml:space="preserve">Thời lượng</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HĐ1. Xác định vấn đề (Mở đầu)</w:t>
            </w:r>
            <w:r>
              <w:rPr>
                <w:sz w:val="24"/>
              </w:rPr>
              <w:br/>
            </w:r>
            <w:r>
              <w:rPr>
                <w:sz w:val="24"/>
              </w:rPr>
              <w:t xml:space="preserve">Tình huống: An góp 20 nghìn, Bình 30 nghìn, Chi 50 nghìn mua pizza 8 miếng. Chia mỗi người mấy miếng là công bằng? Học sinh tranh luận. Phát Phiếu 1 (vấn đề, tiêu chí).</w:t>
            </w:r>
          </w:p>
        </w:tc>
        <w:tc>
          <w:tcPr>
            <w:tcW w:type="dxa" w:w="1400"/>
          </w:tcPr>
          <w:p>
            <w:pPr>
              <w:pStyle w:val="Compact"/>
              <w:jc w:val="left"/>
            </w:pPr>
            <w:r>
              <w:rPr>
                <w:sz w:val="24"/>
              </w:rPr>
              <w:t xml:space="preserve">7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HĐ2. Nghiên cứu kiến thức nền (Hình thành kiến thức)</w:t>
            </w:r>
            <w:r>
              <w:rPr>
                <w:sz w:val="24"/>
              </w:rPr>
              <w:br/>
            </w:r>
            <w:r>
              <w:rPr>
                <w:sz w:val="24"/>
              </w:rPr>
              <w:t xml:space="preserve">Ôn tỉ lệ thức, tính chất dãy tỉ số bằng nhau; bài toán chia một số thành các phần tỉ lệ. GV chốt kiến thức theo SGK. HS hoàn thành Phiếu 2.</w:t>
            </w:r>
          </w:p>
        </w:tc>
        <w:tc>
          <w:tcPr>
            <w:tcW w:type="dxa" w:w="1400"/>
          </w:tcPr>
          <w:p>
            <w:pPr>
              <w:pStyle w:val="Compact"/>
              <w:jc w:val="left"/>
            </w:pPr>
            <w:r>
              <w:rPr>
                <w:sz w:val="24"/>
              </w:rPr>
              <w:t xml:space="preserve">28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HĐ3. Đề xuất giải pháp, giao nhiệm vụ thiết kế</w:t>
            </w:r>
            <w:r>
              <w:rPr>
                <w:sz w:val="24"/>
              </w:rPr>
              <w:br/>
            </w:r>
            <w:r>
              <w:rPr>
                <w:sz w:val="24"/>
              </w:rPr>
              <w:t xml:space="preserve">Nhóm chọn cách chia: chia theo số miếng hay chia theo góc ở tâm; lập bảng tính góc cho từng phần. Phân vai: trưởng nhóm, kĩ sư thiết kế, thư kí tính toán, thợ chế tạo, người thuyết trình. Phát rubric.</w:t>
            </w:r>
          </w:p>
        </w:tc>
        <w:tc>
          <w:tcPr>
            <w:tcW w:type="dxa" w:w="1400"/>
          </w:tcPr>
          <w:p>
            <w:pPr>
              <w:pStyle w:val="Compact"/>
              <w:jc w:val="left"/>
            </w:pPr>
            <w:r>
              <w:rPr>
                <w:sz w:val="24"/>
              </w:rPr>
              <w:t xml:space="preserve">10 phút</w:t>
            </w:r>
          </w:p>
        </w:tc>
      </w:tr>
      <w:tr>
        <w:tc>
          <w:tcPr>
            <w:tcW w:type="dxa" w:w="1900"/>
          </w:tcPr>
          <w:p>
            <w:pPr>
              <w:pStyle w:val="Compact"/>
              <w:jc w:val="left"/>
            </w:pPr>
            <w:r>
              <w:rPr>
                <w:bCs/>
                <w:b/>
                <w:sz w:val="24"/>
              </w:rPr>
              <w:t xml:space="preserve">BUỔI HỌC THỨ HAI</w:t>
            </w:r>
          </w:p>
        </w:tc>
        <w:tc>
          <w:tcPr>
            <w:tcW w:type="dxa" w:w="6200"/>
          </w:tcPr>
          <w:p>
            <w:pPr>
              <w:pStyle w:val="Compact"/>
              <w:jc w:val="left"/>
            </w:pPr>
            <w:r>
              <w:rPr>
                <w:bCs/>
                <w:b/>
                <w:sz w:val="24"/>
              </w:rPr>
              <w:t xml:space="preserve">HĐ3–HĐ4. Lựa chọn giải pháp, chế tạo, thử nghiệm</w:t>
            </w:r>
            <w:r>
              <w:rPr>
                <w:sz w:val="24"/>
              </w:rPr>
              <w:br/>
            </w:r>
            <w:r>
              <w:rPr>
                <w:sz w:val="24"/>
              </w:rPr>
              <w:t xml:space="preserve">Cắt bìa tròn, kẻ góc bằng thước đo góc, tô màu từng phần, ghi tên và số tiền. Ghi Phiếu 4 (lần thử, kết quả, điều chỉnh). Trường học 1 buổi/ngày: giao làm ở nhà 1–2 tuần, chỉ phần không có bước nguy hiểm.</w:t>
            </w:r>
          </w:p>
        </w:tc>
        <w:tc>
          <w:tcPr>
            <w:tcW w:type="dxa" w:w="1400"/>
          </w:tcPr>
          <w:p>
            <w:pPr>
              <w:pStyle w:val="Compact"/>
              <w:jc w:val="left"/>
            </w:pPr>
            <w:r>
              <w:rPr>
                <w:sz w:val="24"/>
              </w:rPr>
              <w:t xml:space="preserve">khoảng 90 phút</w:t>
            </w:r>
          </w:p>
        </w:tc>
      </w:tr>
      <w:tr>
        <w:tc>
          <w:tcPr>
            <w:tcW w:type="dxa" w:w="1900"/>
          </w:tcPr>
          <w:p>
            <w:pPr>
              <w:pStyle w:val="Compact"/>
              <w:jc w:val="left"/>
            </w:pPr>
            <w:r>
              <w:rPr>
                <w:bCs/>
                <w:b/>
                <w:sz w:val="24"/>
              </w:rPr>
              <w:t xml:space="preserve">TIẾT 2 · LUYỆN TẬP</w:t>
            </w:r>
          </w:p>
        </w:tc>
        <w:tc>
          <w:tcPr>
            <w:tcW w:type="dxa" w:w="6200"/>
          </w:tcPr>
          <w:p>
            <w:pPr>
              <w:pStyle w:val="Compact"/>
              <w:jc w:val="left"/>
            </w:pPr>
            <w:r>
              <w:rPr>
                <w:bCs/>
                <w:b/>
                <w:sz w:val="24"/>
              </w:rPr>
              <w:t xml:space="preserve">HĐ5. Luyện tập; chia sẻ, thảo luận, điều chỉnh</w:t>
            </w:r>
            <w:r>
              <w:rPr>
                <w:sz w:val="24"/>
              </w:rPr>
              <w:br/>
            </w:r>
            <w:r>
              <w:rPr>
                <w:sz w:val="24"/>
              </w:rPr>
              <w:t xml:space="preserve">12 phút: bài tập luyện tập gắn với sản phẩm (mục V). 8 phút: kiểm tra chéo sản phẩm theo tiêu chí. 17 phút: Chữa bài tập; nhóm báo cáo mô hình; phản biện về tính công bằng khi có thêm người góp. 8 phút: nêu điều chỉnh, tự đánh giá (Phiếu 5), GV chốt kiến thức.</w:t>
            </w:r>
          </w:p>
        </w:tc>
        <w:tc>
          <w:tcPr>
            <w:tcW w:type="dxa" w:w="1400"/>
          </w:tcPr>
          <w:p>
            <w:pPr>
              <w:pStyle w:val="Compact"/>
              <w:jc w:val="left"/>
            </w:pPr>
            <w:r>
              <w:rPr>
                <w:sz w:val="24"/>
              </w:rPr>
              <w:t xml:space="preserve">45 phút</w:t>
            </w:r>
          </w:p>
        </w:tc>
      </w:tr>
    </w:tbl>
    <w:bookmarkEnd w:id="23"/>
    <w:bookmarkStart w:id="24" w:name="v.-bài-tập-luyện-tập-gắn-với-sản-phẩm"/>
    <w:p>
      <w:pPr>
        <w:pStyle w:val="Heading3"/>
        <w:spacing w:after="80"/>
      </w:pPr>
      <w:r>
        <w:rPr>
          <w:b/>
          <w:i w:val="0"/>
          <w:color w:val="151D33"/>
          <w:sz w:val="26"/>
        </w:rPr>
        <w:t xml:space="preserve">V. Bài tập luyện tập gắn với sản phẩm</w:t>
      </w:r>
    </w:p>
    <w:p>
      <w:pPr>
        <w:pStyle w:val="FirstParagraph"/>
        <w:spacing w:after="80"/>
      </w:pPr>
      <w:r>
        <w:rPr>
          <w:bCs/>
          <w:b/>
        </w:rPr>
        <w:t xml:space="preserve">Bài 1.</w:t>
      </w:r>
      <w:r>
        <w:t xml:space="preserve"> </w:t>
      </w:r>
      <w:r>
        <w:t xml:space="preserve">Ba bạn góp 20, 30, 50 nghìn đồng. a) Chia 360° của bánh thành ba phần tỉ lệ với số tiền góp. b) Nếu bánh cắt sẵn 10 miếng bằng nhau thì mỗi bạn được mấy miếng? c) Có thêm bạn thứ tư góp 20 nghìn đồng, tính lại số đo góc mỗi phần.</w:t>
      </w:r>
    </w:p>
    <w:p>
      <w:pPr>
        <w:pStyle w:val="BodyText"/>
        <w:spacing w:after="80"/>
      </w:pPr>
      <w:r>
        <w:rPr>
          <w:iCs/>
          <w:i/>
        </w:rPr>
        <w:t xml:space="preserve">Đáp án:</w:t>
      </w:r>
      <w:r>
        <w:t xml:space="preserve"> </w:t>
      </w:r>
      <w:r>
        <w:t xml:space="preserve">a) Tỉ lệ 2 : 3 : 5, tổng 10 phần, mỗi phần 36°: 72°, 108°, 180°. b) 2, 3, 5 miếng. c) Tỉ lệ 2 : 3 : 5 : 2, tổng 12 phần, mỗi phần 30°: 60°, 90°, 150°, 60°.</w:t>
      </w:r>
    </w:p>
    <w:bookmarkEnd w:id="24"/>
    <w:bookmarkStart w:id="25" w:name="vi.-câu-hỏi-phản-biện-gợi-ý"/>
    <w:p>
      <w:pPr>
        <w:pStyle w:val="Heading3"/>
        <w:spacing w:after="80"/>
      </w:pPr>
      <w:r>
        <w:rPr>
          <w:b/>
          <w:i w:val="0"/>
          <w:color w:val="151D33"/>
          <w:sz w:val="26"/>
        </w:rPr>
        <w:t xml:space="preserve">VI. Câu hỏi phản biện gợi ý</w:t>
      </w:r>
    </w:p>
    <w:p>
      <w:pPr>
        <w:numPr>
          <w:ilvl w:val="0"/>
          <w:numId w:val="1004"/>
        </w:numPr>
        <w:pStyle w:val="Compact"/>
        <w:spacing w:after="80"/>
      </w:pPr>
      <w:r>
        <w:t xml:space="preserve">Bánh 8 miếng không chia đúng tỉ lệ 2 : 3 : 5 được, nhóm xử lí thế nào?</w:t>
      </w:r>
    </w:p>
    <w:p>
      <w:pPr>
        <w:numPr>
          <w:ilvl w:val="0"/>
          <w:numId w:val="1004"/>
        </w:numPr>
        <w:pStyle w:val="Compact"/>
        <w:spacing w:after="80"/>
      </w:pPr>
      <w:r>
        <w:t xml:space="preserve">Vì sao dùng tính chất dãy tỉ số bằng nhau giúp chia nhanh hơn?</w:t>
      </w:r>
    </w:p>
    <w:bookmarkEnd w:id="25"/>
    <w:bookmarkStart w:id="26" w:name="vii.-đánh-giá"/>
    <w:p>
      <w:pPr>
        <w:pStyle w:val="Heading3"/>
        <w:spacing w:after="80"/>
      </w:pPr>
      <w:r>
        <w:rPr>
          <w:b/>
          <w:i w:val="0"/>
          <w:color w:val="151D33"/>
          <w:sz w:val="26"/>
        </w:rPr>
        <w:t xml:space="preserve">VII. Đánh giá</w:t>
      </w:r>
    </w:p>
    <w:p>
      <w:pPr>
        <w:pStyle w:val="FirstParagraph"/>
        <w:spacing w:after="80"/>
      </w:pPr>
      <w:r>
        <w:t xml:space="preserve">Rubric 3 phần, công bố từ HĐ1: (1) kiến thức được vận dụng (bản thiết kế, số liệu, lời giải); (2) chất lượng sản phẩm theo tiêu chí ở mục II; (3) báo cáo, phản biện, hợp tác. Mỗi phần 3 mức: chưa đạt, đạt, tốt. Kết hợp GV đánh giá, đánh giá đồng đẳng, tự đánh giá; bài tập cá nhân ở tiết 2 là căn cứ đánh giá từng HS (Thông tư 22/2021/TT-BGDĐT).</w:t>
      </w:r>
    </w:p>
    <w:bookmarkEnd w:id="26"/>
    <w:bookmarkStart w:id="27" w:name="viii.-an-toàn"/>
    <w:p>
      <w:pPr>
        <w:pStyle w:val="Heading3"/>
        <w:spacing w:after="80"/>
      </w:pPr>
      <w:r>
        <w:rPr>
          <w:b/>
          <w:i w:val="0"/>
          <w:color w:val="151D33"/>
          <w:sz w:val="26"/>
        </w:rPr>
        <w:t xml:space="preserve">VIII. An toàn</w:t>
      </w:r>
    </w:p>
    <w:p>
      <w:pPr>
        <w:numPr>
          <w:ilvl w:val="0"/>
          <w:numId w:val="1005"/>
        </w:numPr>
        <w:pStyle w:val="Compact"/>
        <w:spacing w:after="80"/>
      </w:pPr>
      <w:r>
        <w:t xml:space="preserve">Dùng kéo đầu tròn; GV cắt bìa dày.</w:t>
      </w:r>
    </w:p>
    <w:p>
      <w:pPr>
        <w:numPr>
          <w:ilvl w:val="0"/>
          <w:numId w:val="1005"/>
        </w:numPr>
        <w:pStyle w:val="Compact"/>
        <w:spacing w:after="80"/>
      </w:pPr>
      <w:r>
        <w:t xml:space="preserve">Đọc phiếu an toàn ở Hoạt động 1; dụng cụ cắt, dán nóng có giáo viên giám sát.</w:t>
      </w:r>
    </w:p>
    <w:p>
      <w:pPr>
        <w:pStyle w:val="FirstParagraph"/>
        <w:spacing w:after="80"/>
      </w:pPr>
      <w:r>
        <w:rPr>
          <w:bCs/>
          <w:b/>
        </w:rPr>
        <w:t xml:space="preserve">DUYỆT CỦA TỔ CHUYÊN MÔN</w:t>
      </w:r>
    </w:p>
    <w:p>
      <w:pPr>
        <w:pStyle w:val="BodyText"/>
        <w:spacing w:after="80"/>
      </w:pPr>
      <w:r>
        <w:rPr>
          <w:iCs/>
          <w:i/>
        </w:rPr>
        <w:t xml:space="preserve">(Kí, ghi rõ họ tên)</w:t>
      </w:r>
    </w:p>
    <w:p>
      <w:pPr>
        <w:pStyle w:val="BodyText"/>
        <w:spacing w:after="80"/>
      </w:pPr>
      <w:r>
        <w:rPr>
          <w:bCs/>
          <w:b/>
        </w:rPr>
        <w:t xml:space="preserve">GIÁO VIÊN SOẠN</w:t>
      </w:r>
    </w:p>
    <w:p>
      <w:pPr>
        <w:pStyle w:val="BodyText"/>
        <w:spacing w:after="80"/>
      </w:pPr>
      <w:r>
        <w:rPr>
          <w:iCs/>
          <w:i/>
        </w:rPr>
        <w:t xml:space="preserve">(Kí, ghi rõ họ tên)</w:t>
      </w:r>
    </w:p>
    <w:bookmarkEnd w:id="27"/>
    <w:bookmarkEnd w:id="28"/>
    <w:sectPr>
      <w:pgSz w:h="16838" w:w="11906"/>
      <w:pgMar w:bottom="1134" w:left="1417"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6"/>
    </w:rPr>
  </w:style>
  <w:style w:styleId="BodyText" w:type="paragraph">
    <w:name w:val="Body Text"/>
    <w:basedOn w:val="Normal"/>
    <w:link w:val="BodyTextChar"/>
    <w:pPr>
      <w:spacing w:after="180" w:before="180"/>
    </w:pPr>
    <w:qFormat/>
    <w:rPr>
      <w:rFonts w:ascii="Times New Roman" w:cs="Times New Roman" w:eastAsia="Times New Roman" w:hAnsi="Times New Roman"/>
      <w:sz w:val="26"/>
    </w:rPr>
  </w:style>
  <w:style w:customStyle="1" w:styleId="FirstParagraph" w:type="paragraph">
    <w:name w:val="First Paragraph"/>
    <w:basedOn w:val="BodyText"/>
    <w:next w:val="BodyText"/>
    <w:qFormat/>
    <w:rPr>
      <w:rFonts w:ascii="Times New Roman" w:cs="Times New Roman" w:eastAsia="Times New Roman" w:hAnsi="Times New Roman"/>
      <w:sz w:val="26"/>
    </w:rPr>
  </w:style>
  <w:style w:customStyle="1" w:styleId="Compact" w:type="paragraph">
    <w:name w:val="Compact"/>
    <w:basedOn w:val="BodyText"/>
    <w:qFormat/>
    <w:pPr>
      <w:spacing w:after="36" w:before="36"/>
    </w:pPr>
    <w:rPr>
      <w:rFonts w:ascii="Times New Roman" w:cs="Times New Roman" w:eastAsia="Times New Roman" w:hAnsi="Times New Roman"/>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151D33"/>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151D33"/>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151D33"/>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151D33"/>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151D33"/>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151D33"/>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151D33"/>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151D33"/>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151D33"/>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2026-10-19T14:42:54Z</dcterms:created>
  <dcterms:modified xsi:type="dcterms:W3CDTF">2026-10-19T14:42:54Z</dcterms:modified>
</cp:coreProperties>
</file>

<file path=docProps/custom.xml><?xml version="1.0" encoding="utf-8"?>
<Properties xmlns="http://schemas.openxmlformats.org/officeDocument/2006/custom-properties" xmlns:vt="http://schemas.openxmlformats.org/officeDocument/2006/docPropsVTypes"/>
</file>