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after="80"/>
      </w:pPr>
      <w:r>
        <w:rPr>
          <w:bCs/>
          <w:b/>
        </w:rPr>
        <w:t xml:space="preserve">TRƯỜNG THCS VÕ THỊ SÁU</w:t>
      </w:r>
      <w:r>
        <w:br/>
      </w:r>
      <w:r>
        <w:rPr>
          <w:bCs/>
          <w:b/>
        </w:rPr>
        <w:t xml:space="preserve">TỔ KHOA HỌC TỰ NHIÊN</w:t>
      </w:r>
    </w:p>
    <w:bookmarkStart w:id="28" w:name="X1aa1899e71618882fd9817c665ce87a4216fcb9"/>
    <w:p>
      <w:pPr>
        <w:pStyle w:val="Heading1"/>
        <w:spacing w:after="80"/>
        <w:jc w:val="center"/>
      </w:pPr>
      <w:r>
        <w:rPr>
          <w:color w:val="151D33"/>
        </w:rPr>
        <w:t xml:space="preserve">BÀI HỌC STEM: THIẾT KẾ CẦU VÒM PARABOL VỚI HÀM SỐ Y = AX²</w:t>
      </w:r>
    </w:p>
    <w:p>
      <w:pPr>
        <w:pStyle w:val="FirstParagraph"/>
        <w:spacing w:after="80"/>
      </w:pPr>
      <w:r>
        <w:rPr>
          <w:iCs/>
          <w:i/>
        </w:rPr>
        <w:t xml:space="preserve">Kế hoạch bài dạy · Môn Toán 9 · Năm học 2026 – 2027</w:t>
      </w:r>
    </w:p>
    <w:p>
      <w:pPr>
        <w:pStyle w:val="BodyText"/>
        <w:spacing w:after="80"/>
      </w:pPr>
      <w:r>
        <w:rPr>
          <w:bCs/>
          <w:b/>
        </w:rPr>
        <w:t xml:space="preserve">Môn:</w:t>
      </w:r>
      <w:r>
        <w:t xml:space="preserve"> </w:t>
      </w:r>
      <w:r>
        <w:t xml:space="preserve">Toán 9 ·</w:t>
      </w:r>
      <w:r>
        <w:t xml:space="preserve"> </w:t>
      </w:r>
      <w:r>
        <w:rPr>
          <w:bCs/>
          <w:b/>
        </w:rPr>
        <w:t xml:space="preserve">Sản phẩm:</w:t>
      </w:r>
      <w:r>
        <w:t xml:space="preserve"> </w:t>
      </w:r>
      <w:r>
        <w:t xml:space="preserve">Mô hình cầu vòm bằng bìa carton ·</w:t>
      </w:r>
      <w:r>
        <w:t xml:space="preserve"> </w:t>
      </w:r>
      <w:r>
        <w:rPr>
          <w:bCs/>
          <w:b/>
        </w:rPr>
        <w:t xml:space="preserve">Thời lượng:</w:t>
      </w:r>
      <w:r>
        <w:t xml:space="preserve"> </w:t>
      </w:r>
      <w:r>
        <w:t xml:space="preserve">2 tiết chính khóa + 1 buổi chế tạo ·</w:t>
      </w:r>
      <w:r>
        <w:t xml:space="preserve"> </w:t>
      </w:r>
      <w:r>
        <w:rPr>
          <w:bCs/>
          <w:b/>
        </w:rPr>
        <w:t xml:space="preserve">Kiểu bài:</w:t>
      </w:r>
      <w:r>
        <w:t xml:space="preserve"> </w:t>
      </w:r>
      <w:r>
        <w:t xml:space="preserve">thiết kế kĩ thuật (CV 3089)</w:t>
      </w:r>
    </w:p>
    <w:p>
      <w:pPr>
        <w:pStyle w:val="BodyText"/>
        <w:spacing w:after="80"/>
      </w:pPr>
      <w:r>
        <w:t xml:space="preserve">Bài đề xuất thay cho "hàm số bậc nhất" (nội dung đó thuộc Toán 8).</w:t>
      </w:r>
    </w:p>
    <w:bookmarkStart w:id="20" w:name="i.-mục-tiêu"/>
    <w:p>
      <w:pPr>
        <w:pStyle w:val="Heading3"/>
        <w:spacing w:after="80"/>
      </w:pPr>
      <w:r>
        <w:rPr>
          <w:b/>
          <w:i w:val="0"/>
          <w:color w:val="151D33"/>
          <w:sz w:val="26"/>
        </w:rPr>
        <w:t xml:space="preserve">I. Mục tiêu</w:t>
      </w:r>
    </w:p>
    <w:p>
      <w:pPr>
        <w:pStyle w:val="FirstParagraph"/>
        <w:spacing w:after="80"/>
      </w:pPr>
      <w:r>
        <w:rPr>
          <w:bCs/>
          <w:b/>
        </w:rPr>
        <w:t xml:space="preserve">1. Kiến thức</w:t>
      </w:r>
      <w:r>
        <w:t xml:space="preserve"> </w:t>
      </w:r>
      <w:r>
        <w:rPr>
          <w:iCs/>
          <w:i/>
        </w:rPr>
        <w:t xml:space="preserve">(đã đối chiếu SGK Kết nối tri thức, có số trang)</w:t>
      </w:r>
    </w:p>
    <w:p>
      <w:pPr>
        <w:numPr>
          <w:ilvl w:val="0"/>
          <w:numId w:val="1001"/>
        </w:numPr>
        <w:pStyle w:val="Compact"/>
        <w:spacing w:after="80"/>
      </w:pPr>
      <w:r>
        <w:t xml:space="preserve">Hàm số y = ax² (a ≠ 0): bảng giá trị, đồ thị, tính đối xứng (SGK Toán 9 tập 2, Bài 18, tr.4)</w:t>
      </w:r>
    </w:p>
    <w:p>
      <w:pPr>
        <w:numPr>
          <w:ilvl w:val="0"/>
          <w:numId w:val="1001"/>
        </w:numPr>
        <w:pStyle w:val="Compact"/>
        <w:spacing w:after="80"/>
      </w:pPr>
      <w:r>
        <w:t xml:space="preserve">Xác định hệ số a khi biết một điểm thuộc đồ thị</w:t>
      </w:r>
    </w:p>
    <w:p>
      <w:pPr>
        <w:numPr>
          <w:ilvl w:val="0"/>
          <w:numId w:val="1001"/>
        </w:numPr>
        <w:pStyle w:val="Compact"/>
        <w:spacing w:after="80"/>
      </w:pPr>
      <w:r>
        <w:t xml:space="preserve">Giải quyết vấn đề thực tiễn gắn với hàm số y = ax²; Luyện tập chung (tr.18)</w:t>
      </w:r>
    </w:p>
    <w:p>
      <w:pPr>
        <w:pStyle w:val="FirstParagraph"/>
        <w:spacing w:after="80"/>
      </w:pPr>
      <w:r>
        <w:rPr>
          <w:bCs/>
          <w:b/>
        </w:rPr>
        <w:t xml:space="preserve">2. Năng lực</w:t>
      </w:r>
    </w:p>
    <w:p>
      <w:pPr>
        <w:numPr>
          <w:ilvl w:val="0"/>
          <w:numId w:val="1002"/>
        </w:numPr>
        <w:pStyle w:val="Compact"/>
        <w:spacing w:after="80"/>
      </w:pPr>
      <w:r>
        <w:t xml:space="preserve">Năng lực chung: tự chủ và tự học; giao tiếp và hợp tác; giải quyết vấn đề và sáng tạo.</w:t>
      </w:r>
    </w:p>
    <w:p>
      <w:pPr>
        <w:numPr>
          <w:ilvl w:val="0"/>
          <w:numId w:val="1002"/>
        </w:numPr>
        <w:pStyle w:val="Compact"/>
        <w:spacing w:after="80"/>
      </w:pPr>
      <w:r>
        <w:t xml:space="preserve">Năng lực toán học: tư duy và lập luận toán học; mô hình hóa toán học; giải quyết vấn đề toán học; giao tiếp toán học; sử dụng công cụ, phương tiện học toán.</w:t>
      </w:r>
    </w:p>
    <w:p>
      <w:pPr>
        <w:pStyle w:val="FirstParagraph"/>
        <w:spacing w:after="80"/>
      </w:pPr>
      <w:r>
        <w:rPr>
          <w:bCs/>
          <w:b/>
        </w:rPr>
        <w:t xml:space="preserve">3. Phẩm chất:</w:t>
      </w:r>
      <w:r>
        <w:t xml:space="preserve"> </w:t>
      </w:r>
      <w:r>
        <w:t xml:space="preserve">chăm chỉ; trung thực khi ghi kết quả thử nghiệm; trách nhiệm với phần việc trong nhóm và với môi trường.</w:t>
      </w:r>
    </w:p>
    <w:bookmarkEnd w:id="20"/>
    <w:bookmarkStart w:id="21" w:name="ii.-vấn-đề-và-tiêu-chí-sản-phẩm"/>
    <w:p>
      <w:pPr>
        <w:pStyle w:val="Heading3"/>
        <w:spacing w:after="80"/>
      </w:pPr>
      <w:r>
        <w:rPr>
          <w:b/>
          <w:i w:val="0"/>
          <w:color w:val="151D33"/>
          <w:sz w:val="26"/>
        </w:rPr>
        <w:t xml:space="preserve">II. Vấn đề và tiêu chí sản phẩm</w:t>
      </w:r>
    </w:p>
    <w:p>
      <w:pPr>
        <w:pStyle w:val="FirstParagraph"/>
        <w:spacing w:after="80"/>
      </w:pPr>
      <w:r>
        <w:t xml:space="preserve">Nhiều cây cầu có vòm dạng parabol giúp chịu lực tốt. Thiết kế vòm cầu mô hình bằng bìa sao cho đường vòm đúng là đồ thị của một hàm số y = ax².</w:t>
      </w:r>
    </w:p>
    <w:tbl>
      <w:tblPr>
        <w:tblStyle w:val="Table"/>
        <w:tblW w:type="dxa" w:w="95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700"/>
        <w:gridCol w:w="5900"/>
        <w:gridCol w:w="2900"/>
      </w:tblGrid>
      <w:tr>
        <w:trPr>
          <w:tblHeader w:val="true"/>
        </w:trPr>
        <w:tc>
          <w:tcPr>
            <w:tcW w:type="dxa" w:w="700"/>
          </w:tcPr>
          <w:p>
            <w:pPr>
              <w:pStyle w:val="Compact"/>
              <w:jc w:val="left"/>
            </w:pPr>
            <w:r>
              <w:rPr>
                <w:b/>
                <w:sz w:val="24"/>
              </w:rPr>
              <w:t xml:space="preserve">TT</w:t>
            </w:r>
          </w:p>
        </w:tc>
        <w:tc>
          <w:tcPr>
            <w:tcW w:type="dxa" w:w="5900"/>
          </w:tcPr>
          <w:p>
            <w:pPr>
              <w:pStyle w:val="Compact"/>
              <w:jc w:val="left"/>
            </w:pPr>
            <w:r>
              <w:rPr>
                <w:b/>
                <w:sz w:val="24"/>
              </w:rPr>
              <w:t xml:space="preserve">Tiêu chí</w:t>
            </w:r>
          </w:p>
        </w:tc>
        <w:tc>
          <w:tcPr>
            <w:tcW w:type="dxa" w:w="2900"/>
          </w:tcPr>
          <w:p>
            <w:pPr>
              <w:pStyle w:val="Compact"/>
              <w:jc w:val="left"/>
            </w:pPr>
            <w:r>
              <w:rPr>
                <w:b/>
                <w:sz w:val="24"/>
              </w:rPr>
              <w:t xml:space="preserve">Cách kiểm tra</w:t>
            </w:r>
          </w:p>
        </w:tc>
      </w:tr>
      <w:tr>
        <w:tc>
          <w:tcPr>
            <w:tcW w:type="dxa" w:w="700"/>
          </w:tcPr>
          <w:p>
            <w:pPr>
              <w:pStyle w:val="Compact"/>
              <w:jc w:val="left"/>
            </w:pPr>
            <w:r>
              <w:rPr>
                <w:sz w:val="24"/>
              </w:rPr>
              <w:t xml:space="preserve">1</w:t>
            </w:r>
          </w:p>
        </w:tc>
        <w:tc>
          <w:tcPr>
            <w:tcW w:type="dxa" w:w="5900"/>
          </w:tcPr>
          <w:p>
            <w:pPr>
              <w:pStyle w:val="Compact"/>
              <w:jc w:val="left"/>
            </w:pPr>
            <w:r>
              <w:rPr>
                <w:sz w:val="24"/>
              </w:rPr>
              <w:t xml:space="preserve">Nhịp vòm 40 cm, độ cao vòm 10 cm</w:t>
            </w:r>
          </w:p>
        </w:tc>
        <w:tc>
          <w:tcPr>
            <w:tcW w:type="dxa" w:w="2900"/>
          </w:tcPr>
          <w:p>
            <w:pPr>
              <w:pStyle w:val="Compact"/>
              <w:jc w:val="left"/>
            </w:pPr>
            <w:r>
              <w:rPr>
                <w:sz w:val="24"/>
              </w:rPr>
              <w:t xml:space="preserve">Đo</w:t>
            </w:r>
          </w:p>
        </w:tc>
      </w:tr>
      <w:tr>
        <w:tc>
          <w:tcPr>
            <w:tcW w:type="dxa" w:w="700"/>
          </w:tcPr>
          <w:p>
            <w:pPr>
              <w:pStyle w:val="Compact"/>
              <w:jc w:val="left"/>
            </w:pPr>
            <w:r>
              <w:rPr>
                <w:sz w:val="24"/>
              </w:rPr>
              <w:t xml:space="preserve">2</w:t>
            </w:r>
          </w:p>
        </w:tc>
        <w:tc>
          <w:tcPr>
            <w:tcW w:type="dxa" w:w="5900"/>
          </w:tcPr>
          <w:p>
            <w:pPr>
              <w:pStyle w:val="Compact"/>
              <w:jc w:val="left"/>
            </w:pPr>
            <w:r>
              <w:rPr>
                <w:sz w:val="24"/>
              </w:rPr>
              <w:t xml:space="preserve">Đường vòm khớp đồ thị tại ít nhất 5 điểm, sai lệch ≤ 3 mm</w:t>
            </w:r>
          </w:p>
        </w:tc>
        <w:tc>
          <w:tcPr>
            <w:tcW w:type="dxa" w:w="2900"/>
          </w:tcPr>
          <w:p>
            <w:pPr>
              <w:pStyle w:val="Compact"/>
              <w:jc w:val="left"/>
            </w:pPr>
            <w:r>
              <w:rPr>
                <w:sz w:val="24"/>
              </w:rPr>
              <w:t xml:space="preserve">Đặt lên bản vẽ đối chiếu</w:t>
            </w:r>
          </w:p>
        </w:tc>
      </w:tr>
      <w:tr>
        <w:tc>
          <w:tcPr>
            <w:tcW w:type="dxa" w:w="700"/>
          </w:tcPr>
          <w:p>
            <w:pPr>
              <w:pStyle w:val="Compact"/>
              <w:jc w:val="left"/>
            </w:pPr>
            <w:r>
              <w:rPr>
                <w:sz w:val="24"/>
              </w:rPr>
              <w:t xml:space="preserve">3</w:t>
            </w:r>
          </w:p>
        </w:tc>
        <w:tc>
          <w:tcPr>
            <w:tcW w:type="dxa" w:w="5900"/>
          </w:tcPr>
          <w:p>
            <w:pPr>
              <w:pStyle w:val="Compact"/>
              <w:jc w:val="left"/>
            </w:pPr>
            <w:r>
              <w:rPr>
                <w:sz w:val="24"/>
              </w:rPr>
              <w:t xml:space="preserve">Có bảng giá trị và đồ thị trên giấy kẻ ô</w:t>
            </w:r>
          </w:p>
        </w:tc>
        <w:tc>
          <w:tcPr>
            <w:tcW w:type="dxa" w:w="2900"/>
          </w:tcPr>
          <w:p>
            <w:pPr>
              <w:pStyle w:val="Compact"/>
              <w:jc w:val="left"/>
            </w:pPr>
            <w:r>
              <w:rPr>
                <w:sz w:val="24"/>
              </w:rPr>
              <w:t xml:space="preserve">Kiểm tra Phiếu 3</w:t>
            </w:r>
          </w:p>
        </w:tc>
      </w:tr>
      <w:tr>
        <w:tc>
          <w:tcPr>
            <w:tcW w:type="dxa" w:w="700"/>
          </w:tcPr>
          <w:p>
            <w:pPr>
              <w:pStyle w:val="Compact"/>
              <w:jc w:val="left"/>
            </w:pPr>
            <w:r>
              <w:rPr>
                <w:sz w:val="24"/>
              </w:rPr>
              <w:t xml:space="preserve">4</w:t>
            </w:r>
          </w:p>
        </w:tc>
        <w:tc>
          <w:tcPr>
            <w:tcW w:type="dxa" w:w="5900"/>
          </w:tcPr>
          <w:p>
            <w:pPr>
              <w:pStyle w:val="Compact"/>
              <w:jc w:val="left"/>
            </w:pPr>
            <w:r>
              <w:rPr>
                <w:sz w:val="24"/>
              </w:rPr>
              <w:t xml:space="preserve">Cầu chịu được vật 500 g trên mặt cầu</w:t>
            </w:r>
          </w:p>
        </w:tc>
        <w:tc>
          <w:tcPr>
            <w:tcW w:type="dxa" w:w="2900"/>
          </w:tcPr>
          <w:p>
            <w:pPr>
              <w:pStyle w:val="Compact"/>
              <w:jc w:val="left"/>
            </w:pPr>
            <w:r>
              <w:rPr>
                <w:sz w:val="24"/>
              </w:rPr>
              <w:t xml:space="preserve">Thử tải</w:t>
            </w:r>
          </w:p>
        </w:tc>
      </w:tr>
    </w:tbl>
    <w:bookmarkEnd w:id="21"/>
    <w:bookmarkStart w:id="22" w:name="iii.-thiết-bị-vật-liệu-mỗi-nhóm"/>
    <w:p>
      <w:pPr>
        <w:pStyle w:val="Heading3"/>
        <w:spacing w:after="80"/>
      </w:pPr>
      <w:r>
        <w:rPr>
          <w:b/>
          <w:i w:val="0"/>
          <w:color w:val="151D33"/>
          <w:sz w:val="26"/>
        </w:rPr>
        <w:t xml:space="preserve">III. Thiết bị, vật liệu (mỗi nhóm)</w:t>
      </w:r>
    </w:p>
    <w:p>
      <w:pPr>
        <w:numPr>
          <w:ilvl w:val="0"/>
          <w:numId w:val="1003"/>
        </w:numPr>
        <w:pStyle w:val="Compact"/>
        <w:spacing w:after="80"/>
      </w:pPr>
      <w:r>
        <w:t xml:space="preserve">Bìa carton, que tre</w:t>
      </w:r>
    </w:p>
    <w:p>
      <w:pPr>
        <w:numPr>
          <w:ilvl w:val="0"/>
          <w:numId w:val="1003"/>
        </w:numPr>
        <w:pStyle w:val="Compact"/>
        <w:spacing w:after="80"/>
      </w:pPr>
      <w:r>
        <w:t xml:space="preserve">Giấy kẻ ô khổ A3</w:t>
      </w:r>
    </w:p>
    <w:p>
      <w:pPr>
        <w:numPr>
          <w:ilvl w:val="0"/>
          <w:numId w:val="1003"/>
        </w:numPr>
        <w:pStyle w:val="Compact"/>
        <w:spacing w:after="80"/>
      </w:pPr>
      <w:r>
        <w:t xml:space="preserve">Băng dính giấy, keo dán (GV giám sát nếu dùng súng keo)</w:t>
      </w:r>
    </w:p>
    <w:bookmarkEnd w:id="22"/>
    <w:bookmarkStart w:id="23" w:name="iv.-tiến-trình-dạy-học-5-hoạt-động-stem"/>
    <w:p>
      <w:pPr>
        <w:pStyle w:val="Heading3"/>
        <w:spacing w:after="80"/>
      </w:pPr>
      <w:r>
        <w:rPr>
          <w:b/>
          <w:i w:val="0"/>
          <w:color w:val="151D33"/>
          <w:sz w:val="26"/>
        </w:rPr>
        <w:t xml:space="preserve">IV. Tiến trình dạy học (5 hoạt động STEM)</w:t>
      </w:r>
    </w:p>
    <w:tbl>
      <w:tblPr>
        <w:tblStyle w:val="Table"/>
        <w:tblW w:type="dxa" w:w="95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900"/>
        <w:gridCol w:w="6200"/>
        <w:gridCol w:w="1400"/>
      </w:tblGrid>
      <w:tr>
        <w:trPr>
          <w:tblHeader w:val="true"/>
        </w:trPr>
        <w:tc>
          <w:tcPr>
            <w:tcW w:type="dxa" w:w="1900"/>
          </w:tcPr>
          <w:p>
            <w:pPr>
              <w:pStyle w:val="Compact"/>
              <w:jc w:val="left"/>
            </w:pPr>
            <w:r>
              <w:rPr>
                <w:b/>
                <w:sz w:val="24"/>
              </w:rPr>
              <w:t xml:space="preserve">Thời điểm</w:t>
            </w:r>
          </w:p>
        </w:tc>
        <w:tc>
          <w:tcPr>
            <w:tcW w:type="dxa" w:w="6200"/>
          </w:tcPr>
          <w:p>
            <w:pPr>
              <w:pStyle w:val="Compact"/>
              <w:jc w:val="left"/>
            </w:pPr>
            <w:r>
              <w:rPr>
                <w:b/>
                <w:sz w:val="24"/>
              </w:rPr>
              <w:t xml:space="preserve">Hoạt động và tổ chức thực hiện</w:t>
            </w:r>
          </w:p>
        </w:tc>
        <w:tc>
          <w:tcPr>
            <w:tcW w:type="dxa" w:w="1400"/>
          </w:tcPr>
          <w:p>
            <w:pPr>
              <w:pStyle w:val="Compact"/>
              <w:jc w:val="left"/>
            </w:pPr>
            <w:r>
              <w:rPr>
                <w:b/>
                <w:sz w:val="24"/>
              </w:rPr>
              <w:t xml:space="preserve">Thời lượng</w:t>
            </w:r>
          </w:p>
        </w:tc>
      </w:tr>
      <w:tr>
        <w:tc>
          <w:tcPr>
            <w:tcW w:type="dxa" w:w="1900"/>
          </w:tcPr>
          <w:p>
            <w:pPr>
              <w:pStyle w:val="Compact"/>
              <w:jc w:val="left"/>
            </w:pPr>
            <w:r>
              <w:rPr>
                <w:bCs/>
                <w:b/>
                <w:sz w:val="24"/>
              </w:rPr>
              <w:t xml:space="preserve">TIẾT 1</w:t>
            </w:r>
          </w:p>
        </w:tc>
        <w:tc>
          <w:tcPr>
            <w:tcW w:type="dxa" w:w="6200"/>
          </w:tcPr>
          <w:p>
            <w:pPr>
              <w:pStyle w:val="Compact"/>
              <w:jc w:val="left"/>
            </w:pPr>
            <w:r>
              <w:rPr>
                <w:bCs/>
                <w:b/>
                <w:sz w:val="24"/>
              </w:rPr>
              <w:t xml:space="preserve">HĐ1. Xác định vấn đề (Mở đầu)</w:t>
            </w:r>
            <w:r>
              <w:rPr>
                <w:sz w:val="24"/>
              </w:rPr>
              <w:br/>
            </w:r>
            <w:r>
              <w:rPr>
                <w:sz w:val="24"/>
              </w:rPr>
              <w:t xml:space="preserve">Dùng tình huống mở đầu của SGK (tr.4): dây cáp cầu treo có dạng đồ thị y = ax². Hỏi: "Vòm cầu cong lên thì hàm số thay đổi thế nào?" Giao nhiệm vụ. Phát Phiếu 1 (vấn đề, tiêu chí).</w:t>
            </w:r>
          </w:p>
        </w:tc>
        <w:tc>
          <w:tcPr>
            <w:tcW w:type="dxa" w:w="1400"/>
          </w:tcPr>
          <w:p>
            <w:pPr>
              <w:pStyle w:val="Compact"/>
              <w:jc w:val="left"/>
            </w:pPr>
            <w:r>
              <w:rPr>
                <w:sz w:val="24"/>
              </w:rPr>
              <w:t xml:space="preserve">7 phút</w:t>
            </w:r>
          </w:p>
        </w:tc>
      </w:tr>
      <w:tr>
        <w:tc>
          <w:tcPr>
            <w:tcW w:type="dxa" w:w="1900"/>
          </w:tcPr>
          <w:p>
            <w:pPr>
              <w:pStyle w:val="Compact"/>
              <w:jc w:val="left"/>
            </w:pPr>
            <w:r>
              <w:rPr>
                <w:bCs/>
                <w:b/>
                <w:sz w:val="24"/>
              </w:rPr>
              <w:t xml:space="preserve">TIẾT 1</w:t>
            </w:r>
          </w:p>
        </w:tc>
        <w:tc>
          <w:tcPr>
            <w:tcW w:type="dxa" w:w="6200"/>
          </w:tcPr>
          <w:p>
            <w:pPr>
              <w:pStyle w:val="Compact"/>
              <w:jc w:val="left"/>
            </w:pPr>
            <w:r>
              <w:rPr>
                <w:bCs/>
                <w:b/>
                <w:sz w:val="24"/>
              </w:rPr>
              <w:t xml:space="preserve">HĐ2. Nghiên cứu kiến thức nền (Hình thành kiến thức)</w:t>
            </w:r>
            <w:r>
              <w:rPr>
                <w:sz w:val="24"/>
              </w:rPr>
              <w:br/>
            </w:r>
            <w:r>
              <w:rPr>
                <w:sz w:val="24"/>
              </w:rPr>
              <w:t xml:space="preserve">Ôn hàm số y = ax²: tính chất, đồ thị, vị trí parabol theo dấu của a. GV chốt kiến thức theo SGK. HS hoàn thành Phiếu 2.</w:t>
            </w:r>
          </w:p>
        </w:tc>
        <w:tc>
          <w:tcPr>
            <w:tcW w:type="dxa" w:w="1400"/>
          </w:tcPr>
          <w:p>
            <w:pPr>
              <w:pStyle w:val="Compact"/>
              <w:jc w:val="left"/>
            </w:pPr>
            <w:r>
              <w:rPr>
                <w:sz w:val="24"/>
              </w:rPr>
              <w:t xml:space="preserve">28 phút</w:t>
            </w:r>
          </w:p>
        </w:tc>
      </w:tr>
      <w:tr>
        <w:tc>
          <w:tcPr>
            <w:tcW w:type="dxa" w:w="1900"/>
          </w:tcPr>
          <w:p>
            <w:pPr>
              <w:pStyle w:val="Compact"/>
              <w:jc w:val="left"/>
            </w:pPr>
            <w:r>
              <w:rPr>
                <w:bCs/>
                <w:b/>
                <w:sz w:val="24"/>
              </w:rPr>
              <w:t xml:space="preserve">TIẾT 1</w:t>
            </w:r>
          </w:p>
        </w:tc>
        <w:tc>
          <w:tcPr>
            <w:tcW w:type="dxa" w:w="6200"/>
          </w:tcPr>
          <w:p>
            <w:pPr>
              <w:pStyle w:val="Compact"/>
              <w:jc w:val="left"/>
            </w:pPr>
            <w:r>
              <w:rPr>
                <w:bCs/>
                <w:b/>
                <w:sz w:val="24"/>
              </w:rPr>
              <w:t xml:space="preserve">HĐ3. Đề xuất giải pháp, giao nhiệm vụ thiết kế</w:t>
            </w:r>
            <w:r>
              <w:rPr>
                <w:sz w:val="24"/>
              </w:rPr>
              <w:br/>
            </w:r>
            <w:r>
              <w:rPr>
                <w:sz w:val="24"/>
              </w:rPr>
              <w:t xml:space="preserve">Nhóm đặt hệ trục với đỉnh vòm ở gốc O, tìm a, lập bảng giá trị, vẽ đường vòm tỉ lệ 1 : 1. Phân vai: trưởng nhóm, kĩ sư thiết kế, thư kí tính toán, thợ chế tạo, người thuyết trình. Phát rubric.</w:t>
            </w:r>
          </w:p>
        </w:tc>
        <w:tc>
          <w:tcPr>
            <w:tcW w:type="dxa" w:w="1400"/>
          </w:tcPr>
          <w:p>
            <w:pPr>
              <w:pStyle w:val="Compact"/>
              <w:jc w:val="left"/>
            </w:pPr>
            <w:r>
              <w:rPr>
                <w:sz w:val="24"/>
              </w:rPr>
              <w:t xml:space="preserve">10 phút</w:t>
            </w:r>
          </w:p>
        </w:tc>
      </w:tr>
      <w:tr>
        <w:tc>
          <w:tcPr>
            <w:tcW w:type="dxa" w:w="1900"/>
          </w:tcPr>
          <w:p>
            <w:pPr>
              <w:pStyle w:val="Compact"/>
              <w:jc w:val="left"/>
            </w:pPr>
            <w:r>
              <w:rPr>
                <w:bCs/>
                <w:b/>
                <w:sz w:val="24"/>
              </w:rPr>
              <w:t xml:space="preserve">BUỔI HỌC THỨ HAI</w:t>
            </w:r>
          </w:p>
        </w:tc>
        <w:tc>
          <w:tcPr>
            <w:tcW w:type="dxa" w:w="6200"/>
          </w:tcPr>
          <w:p>
            <w:pPr>
              <w:pStyle w:val="Compact"/>
              <w:jc w:val="left"/>
            </w:pPr>
            <w:r>
              <w:rPr>
                <w:bCs/>
                <w:b/>
                <w:sz w:val="24"/>
              </w:rPr>
              <w:t xml:space="preserve">HĐ3–HĐ4. Lựa chọn giải pháp, chế tạo, thử nghiệm</w:t>
            </w:r>
            <w:r>
              <w:rPr>
                <w:sz w:val="24"/>
              </w:rPr>
              <w:br/>
            </w:r>
            <w:r>
              <w:rPr>
                <w:sz w:val="24"/>
              </w:rPr>
              <w:t xml:space="preserve">Cắt vòm theo bản vẽ, lắp mặt cầu và cột chống, thử tải, chỉnh. Ghi Phiếu 4 (lần thử, kết quả, điều chỉnh). Trường học 1 buổi/ngày: giao làm ở nhà 1–2 tuần, chỉ phần không có bước nguy hiểm.</w:t>
            </w:r>
          </w:p>
        </w:tc>
        <w:tc>
          <w:tcPr>
            <w:tcW w:type="dxa" w:w="1400"/>
          </w:tcPr>
          <w:p>
            <w:pPr>
              <w:pStyle w:val="Compact"/>
              <w:jc w:val="left"/>
            </w:pPr>
            <w:r>
              <w:rPr>
                <w:sz w:val="24"/>
              </w:rPr>
              <w:t xml:space="preserve">khoảng 90 phút</w:t>
            </w:r>
          </w:p>
        </w:tc>
      </w:tr>
      <w:tr>
        <w:tc>
          <w:tcPr>
            <w:tcW w:type="dxa" w:w="1900"/>
          </w:tcPr>
          <w:p>
            <w:pPr>
              <w:pStyle w:val="Compact"/>
              <w:jc w:val="left"/>
            </w:pPr>
            <w:r>
              <w:rPr>
                <w:bCs/>
                <w:b/>
                <w:sz w:val="24"/>
              </w:rPr>
              <w:t xml:space="preserve">TIẾT 2 · LUYỆN TẬP</w:t>
            </w:r>
          </w:p>
        </w:tc>
        <w:tc>
          <w:tcPr>
            <w:tcW w:type="dxa" w:w="6200"/>
          </w:tcPr>
          <w:p>
            <w:pPr>
              <w:pStyle w:val="Compact"/>
              <w:jc w:val="left"/>
            </w:pPr>
            <w:r>
              <w:rPr>
                <w:bCs/>
                <w:b/>
                <w:sz w:val="24"/>
              </w:rPr>
              <w:t xml:space="preserve">HĐ5. Luyện tập; chia sẻ, thảo luận, điều chỉnh</w:t>
            </w:r>
            <w:r>
              <w:rPr>
                <w:sz w:val="24"/>
              </w:rPr>
              <w:br/>
            </w:r>
            <w:r>
              <w:rPr>
                <w:sz w:val="24"/>
              </w:rPr>
              <w:t xml:space="preserve">12 phút: bài tập luyện tập gắn với sản phẩm (mục V). 8 phút: kiểm tra chéo sản phẩm theo tiêu chí. 17 phút: Chữa bài tập; nhóm báo cáo, đặt vòm lên đồ thị để đối chiếu; phản biện. 8 phút: nêu điều chỉnh, tự đánh giá (Phiếu 5), GV chốt kiến thức.</w:t>
            </w:r>
          </w:p>
        </w:tc>
        <w:tc>
          <w:tcPr>
            <w:tcW w:type="dxa" w:w="1400"/>
          </w:tcPr>
          <w:p>
            <w:pPr>
              <w:pStyle w:val="Compact"/>
              <w:jc w:val="left"/>
            </w:pPr>
            <w:r>
              <w:rPr>
                <w:sz w:val="24"/>
              </w:rPr>
              <w:t xml:space="preserve">45 phút</w:t>
            </w:r>
          </w:p>
        </w:tc>
      </w:tr>
    </w:tbl>
    <w:bookmarkEnd w:id="23"/>
    <w:bookmarkStart w:id="24" w:name="v.-bài-tập-luyện-tập-gắn-với-sản-phẩm"/>
    <w:p>
      <w:pPr>
        <w:pStyle w:val="Heading3"/>
        <w:spacing w:after="80"/>
      </w:pPr>
      <w:r>
        <w:rPr>
          <w:b/>
          <w:i w:val="0"/>
          <w:color w:val="151D33"/>
          <w:sz w:val="26"/>
        </w:rPr>
        <w:t xml:space="preserve">V. Bài tập luyện tập gắn với sản phẩm</w:t>
      </w:r>
    </w:p>
    <w:p>
      <w:pPr>
        <w:pStyle w:val="FirstParagraph"/>
        <w:spacing w:after="80"/>
      </w:pPr>
      <w:r>
        <w:rPr>
          <w:bCs/>
          <w:b/>
        </w:rPr>
        <w:t xml:space="preserve">Bài 1.</w:t>
      </w:r>
      <w:r>
        <w:t xml:space="preserve"> </w:t>
      </w:r>
      <w:r>
        <w:t xml:space="preserve">Đặt đỉnh vòm tại gốc O, trục Oy hướng lên. Hai chân vòm ở các điểm (−20; −10) và (20; −10) (đơn vị cm). a) Tìm a để vòm là đồ thị hàm số y = ax². b) Lập bảng giá trị với x = 0; ±5; ±10; ±15; ±20. c) Cột chống đặt tại x = 10 thì cao bao nhiêu tính từ đường nối hai chân vòm?</w:t>
      </w:r>
    </w:p>
    <w:p>
      <w:pPr>
        <w:pStyle w:val="BodyText"/>
        <w:spacing w:after="80"/>
      </w:pPr>
      <w:r>
        <w:rPr>
          <w:iCs/>
          <w:i/>
        </w:rPr>
        <w:t xml:space="preserve">Đáp án:</w:t>
      </w:r>
      <w:r>
        <w:t xml:space="preserve"> </w:t>
      </w:r>
      <w:r>
        <w:t xml:space="preserve">a) −10 = a · 400 nên a = −1/40. b) y = 0; −0,625; −2,5; −5,625; −10. c) Điểm trên vòm có y = −2,5 nên cột cao −2,5 − (−10) = 7,5 cm.</w:t>
      </w:r>
    </w:p>
    <w:bookmarkEnd w:id="24"/>
    <w:bookmarkStart w:id="25" w:name="vi.-câu-hỏi-phản-biện-gợi-ý"/>
    <w:p>
      <w:pPr>
        <w:pStyle w:val="Heading3"/>
        <w:spacing w:after="80"/>
      </w:pPr>
      <w:r>
        <w:rPr>
          <w:b/>
          <w:i w:val="0"/>
          <w:color w:val="151D33"/>
          <w:sz w:val="26"/>
        </w:rPr>
        <w:t xml:space="preserve">VI. Câu hỏi phản biện gợi ý</w:t>
      </w:r>
    </w:p>
    <w:p>
      <w:pPr>
        <w:numPr>
          <w:ilvl w:val="0"/>
          <w:numId w:val="1004"/>
        </w:numPr>
        <w:pStyle w:val="Compact"/>
        <w:spacing w:after="80"/>
      </w:pPr>
      <w:r>
        <w:t xml:space="preserve">Nếu a có giá trị tuyệt đối lớn hơn thì vòm thay đổi thế nào?</w:t>
      </w:r>
    </w:p>
    <w:p>
      <w:pPr>
        <w:numPr>
          <w:ilvl w:val="0"/>
          <w:numId w:val="1004"/>
        </w:numPr>
        <w:pStyle w:val="Compact"/>
        <w:spacing w:after="80"/>
      </w:pPr>
      <w:r>
        <w:t xml:space="preserve">Vì sao đặt đỉnh vòm ở gốc tọa độ giúp tính toán đơn giản?</w:t>
      </w:r>
    </w:p>
    <w:bookmarkEnd w:id="25"/>
    <w:bookmarkStart w:id="26" w:name="vii.-đánh-giá"/>
    <w:p>
      <w:pPr>
        <w:pStyle w:val="Heading3"/>
        <w:spacing w:after="80"/>
      </w:pPr>
      <w:r>
        <w:rPr>
          <w:b/>
          <w:i w:val="0"/>
          <w:color w:val="151D33"/>
          <w:sz w:val="26"/>
        </w:rPr>
        <w:t xml:space="preserve">VII. Đánh giá</w:t>
      </w:r>
    </w:p>
    <w:p>
      <w:pPr>
        <w:pStyle w:val="FirstParagraph"/>
        <w:spacing w:after="80"/>
      </w:pPr>
      <w:r>
        <w:t xml:space="preserve">Rubric 3 phần, công bố từ HĐ1: (1) kiến thức được vận dụng (bản thiết kế, số liệu, lời giải); (2) chất lượng sản phẩm theo tiêu chí ở mục II; (3) báo cáo, phản biện, hợp tác. Mỗi phần 3 mức: chưa đạt, đạt, tốt. Kết hợp GV đánh giá, đánh giá đồng đẳng, tự đánh giá; bài tập cá nhân ở tiết 2 là căn cứ đánh giá từng HS (Thông tư 22/2021/TT-BGDĐT).</w:t>
      </w:r>
    </w:p>
    <w:bookmarkEnd w:id="26"/>
    <w:bookmarkStart w:id="27" w:name="viii.-an-toàn"/>
    <w:p>
      <w:pPr>
        <w:pStyle w:val="Heading3"/>
        <w:spacing w:after="80"/>
      </w:pPr>
      <w:r>
        <w:rPr>
          <w:b/>
          <w:i w:val="0"/>
          <w:color w:val="151D33"/>
          <w:sz w:val="26"/>
        </w:rPr>
        <w:t xml:space="preserve">VIII. An toàn</w:t>
      </w:r>
    </w:p>
    <w:p>
      <w:pPr>
        <w:numPr>
          <w:ilvl w:val="0"/>
          <w:numId w:val="1005"/>
        </w:numPr>
        <w:pStyle w:val="Compact"/>
        <w:spacing w:after="80"/>
      </w:pPr>
      <w:r>
        <w:t xml:space="preserve">Súng keo nhiệt (nếu dùng) đặt ở bàn riêng, GV giám sát.</w:t>
      </w:r>
    </w:p>
    <w:p>
      <w:pPr>
        <w:numPr>
          <w:ilvl w:val="0"/>
          <w:numId w:val="1005"/>
        </w:numPr>
        <w:pStyle w:val="Compact"/>
        <w:spacing w:after="80"/>
      </w:pPr>
      <w:r>
        <w:t xml:space="preserve">Đọc phiếu an toàn ở Hoạt động 1; dụng cụ cắt, dán nóng có giáo viên giám sát.</w:t>
      </w:r>
    </w:p>
    <w:p>
      <w:pPr>
        <w:pStyle w:val="FirstParagraph"/>
        <w:spacing w:after="80"/>
      </w:pPr>
      <w:r>
        <w:rPr>
          <w:bCs/>
          <w:b/>
        </w:rPr>
        <w:t xml:space="preserve">DUYỆT CỦA TỔ CHUYÊN MÔN</w:t>
      </w:r>
    </w:p>
    <w:p>
      <w:pPr>
        <w:pStyle w:val="BodyText"/>
        <w:spacing w:after="80"/>
      </w:pPr>
      <w:r>
        <w:rPr>
          <w:iCs/>
          <w:i/>
        </w:rPr>
        <w:t xml:space="preserve">(Kí, ghi rõ họ tên)</w:t>
      </w:r>
    </w:p>
    <w:p>
      <w:pPr>
        <w:pStyle w:val="BodyText"/>
        <w:spacing w:after="80"/>
      </w:pPr>
      <w:r>
        <w:rPr>
          <w:bCs/>
          <w:b/>
        </w:rPr>
        <w:t xml:space="preserve">GIÁO VIÊN SOẠN</w:t>
      </w:r>
    </w:p>
    <w:p>
      <w:pPr>
        <w:pStyle w:val="BodyText"/>
        <w:spacing w:after="80"/>
      </w:pPr>
      <w:r>
        <w:rPr>
          <w:iCs/>
          <w:i/>
        </w:rPr>
        <w:t xml:space="preserve">(Kí, ghi rõ họ tên)</w:t>
      </w:r>
    </w:p>
    <w:bookmarkEnd w:id="27"/>
    <w:bookmarkEnd w:id="28"/>
    <w:sectPr>
      <w:pgSz w:h="16838" w:w="11906"/>
      <w:pgMar w:bottom="1134" w:left="1417" w:right="850"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6"/>
    </w:rPr>
  </w:style>
  <w:style w:styleId="BodyText" w:type="paragraph">
    <w:name w:val="Body Text"/>
    <w:basedOn w:val="Normal"/>
    <w:link w:val="BodyTextChar"/>
    <w:pPr>
      <w:spacing w:after="180" w:before="180"/>
    </w:pPr>
    <w:qFormat/>
    <w:rPr>
      <w:rFonts w:ascii="Times New Roman" w:cs="Times New Roman" w:eastAsia="Times New Roman" w:hAnsi="Times New Roman"/>
      <w:sz w:val="26"/>
    </w:rPr>
  </w:style>
  <w:style w:customStyle="1" w:styleId="FirstParagraph" w:type="paragraph">
    <w:name w:val="First Paragraph"/>
    <w:basedOn w:val="BodyText"/>
    <w:next w:val="BodyText"/>
    <w:qFormat/>
    <w:rPr>
      <w:rFonts w:ascii="Times New Roman" w:cs="Times New Roman" w:eastAsia="Times New Roman" w:hAnsi="Times New Roman"/>
      <w:sz w:val="26"/>
    </w:rPr>
  </w:style>
  <w:style w:customStyle="1" w:styleId="Compact" w:type="paragraph">
    <w:name w:val="Compact"/>
    <w:basedOn w:val="BodyText"/>
    <w:qFormat/>
    <w:pPr>
      <w:spacing w:after="36" w:before="36"/>
    </w:pPr>
    <w:rPr>
      <w:rFonts w:ascii="Times New Roman" w:cs="Times New Roman" w:eastAsia="Times New Roman" w:hAnsi="Times New Roman"/>
      <w:sz w:val="26"/>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i w:val="0"/>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color w:val="151D33"/>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color w:val="151D33"/>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color w:val="151D33"/>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color w:val="151D33"/>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val="151D33"/>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val="151D33"/>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val="151D33"/>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val="151D33"/>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val="151D33"/>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2026-10-19T14:42:54Z</dcterms:created>
  <dcterms:modified xsi:type="dcterms:W3CDTF">2026-10-19T14:42:54Z</dcterms:modified>
</cp:coreProperties>
</file>

<file path=docProps/custom.xml><?xml version="1.0" encoding="utf-8"?>
<Properties xmlns="http://schemas.openxmlformats.org/officeDocument/2006/custom-properties" xmlns:vt="http://schemas.openxmlformats.org/officeDocument/2006/docPropsVTypes"/>
</file>