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40" w:lineRule="auto"/>
        <w:jc w:val="center"/>
      </w:pPr>
      <w:r>
        <w:rPr>
          <w:rFonts w:ascii="TH SarabunIT๙" w:hAnsi="TH SarabunIT๙" w:eastAsia="TH SarabunIT๙" w:cs="TH SarabunIT๙"/>
          <w:b/>
          <w:i w:val="0"/>
          <w:sz w:val="44"/>
          <w:u w:val="none"/>
          <w:lang w:val="th-TH" w:eastAsia="th-TH" w:bidi="th-TH"/>
        </w:rPr>
        <w:t>กฎหมายอ้างอิง</w:t>
      </w:r>
    </w:p>
    <w:p>
      <w:pPr>
        <w:spacing w:after="40" w:before="0" w:line="240" w:lineRule="auto"/>
        <w:jc w:val="center"/>
      </w:pPr>
      <w:r>
        <w:rPr>
          <w:rFonts w:ascii="TH SarabunIT๙" w:hAnsi="TH SarabunIT๙" w:eastAsia="TH SarabunIT๙" w:cs="TH SarabunIT๙"/>
          <w:b/>
          <w:i w:val="0"/>
          <w:sz w:val="32"/>
          <w:u w:val="none"/>
          <w:lang w:val="th-TH" w:eastAsia="th-TH" w:bidi="th-TH"/>
        </w:rPr>
        <w:t>ประกอบบันทึกเสนอ​เลขาธิ​การฯ ​เพื่อลงนาม​ในคำสั่ง​แต่งตั้ง​คณะพนักงาน​ไต่สวน (ปปท. 5-04)</w:t>
      </w:r>
    </w:p>
    <w:p>
      <w:pPr>
        <w:spacing w:after="40" w:before="0" w:line="240" w:lineRule="auto"/>
        <w:jc w:val="center"/>
      </w:pPr>
      <w:r>
        <w:rPr>
          <w:rFonts w:ascii="TH SarabunIT๙" w:hAnsi="TH SarabunIT๙" w:eastAsia="TH SarabunIT๙" w:cs="TH SarabunIT๙"/>
          <w:b w:val="0"/>
          <w:i/>
          <w:sz w:val="28"/>
          <w:u w:val="none"/>
          <w:lang w:val="th-TH" w:eastAsia="th-TH" w:bidi="th-TH"/>
        </w:rPr>
        <w:t>คัด​จาก​พระราช​บัญญัติมาตร​การ​ของฝ่ายบริหาร​ใน​การ​ป้องกัน​และ​ปราบปราม​การ​ทุจริต ​พ.ศ. ๒๕๕๑ ​และ​ที่​แก้ไข​เพิ่มเติม ถึง​ฉบับ​ที่ ๔ ​พ.ศ. ๒๕๖๘ (ไฟล์ law_pacc_68.pdf)</w:t>
      </w:r>
    </w:p>
    <w:p>
      <w:pPr>
        <w:spacing w:after="80" w:before="0" w:line="240" w:lineRule="auto"/>
        <w:jc w:val="center"/>
      </w:pPr>
      <w:r>
        <w:rPr>
          <w:rFonts w:ascii="TH SarabunIT๙" w:hAnsi="TH SarabunIT๙" w:eastAsia="TH SarabunIT๙" w:cs="TH SarabunIT๙"/>
          <w:b w:val="0"/>
          <w:i/>
          <w:sz w:val="28"/>
          <w:u w:val="none"/>
          <w:lang w:val="th-TH" w:eastAsia="th-TH" w:bidi="th-TH"/>
        </w:rPr>
        <w:t>มาตรา​ที่บันทึก​ฉบับนี้อ้างถึง (​จาก law_pacc_68.pdf): ​มาตรา ๒๔ ​วรรคหนึ่ง</w:t>
      </w:r>
    </w:p>
    <w:p>
      <w:pPr>
        <w:spacing w:after="240" w:before="0" w:line="240" w:lineRule="auto"/>
        <w:jc w:val="center"/>
      </w:pPr>
      <w:r>
        <w:rPr>
          <w:rFonts w:ascii="TH SarabunIT๙" w:hAnsi="TH SarabunIT๙" w:eastAsia="TH SarabunIT๙" w:cs="TH SarabunIT๙"/>
          <w:b w:val="0"/>
          <w:i/>
          <w:sz w:val="26"/>
          <w:u w:val="none"/>
          <w:lang w:val="th-TH" w:eastAsia="th-TH" w:bidi="th-TH"/>
        </w:rPr>
        <w:t>หมายเหตุ: บันทึก​ฉบับนี้ยังอ้างถึง​ข้อ ๑๐๑ ​วรรคสอง ​แห่ง​ระเบียบ​คณะ​กรรม​การ​ป้องกัน​และ​ปราบปราม​การ​ทุจริต​ใน​ภาครัฐ ​ว่า​ด้วย​หลักเกณฑ์​และ​วิธี​การ​ไต่สวน ​พ.ศ. ๒๕๖๘ (​ระเบียบคนละ​ฉบับ ไม่ปรากฏอยู่​ใน law_pacc_68.pdf ​ซึ่ง​เป็นเพียงตัว​พระราช​บัญญัติ) ​จึงไม่​ได้รวบรวมไว้​ในเอกสารนี้</w:t>
      </w:r>
    </w:p>
    <w:p>
      <w:pPr>
        <w:spacing w:after="80" w:before="200" w:line="240" w:lineRule="auto"/>
        <w:ind w:firstLine="0"/>
      </w:pPr>
      <w:r>
        <w:rPr>
          <w:rFonts w:ascii="TH SarabunIT๙" w:hAnsi="TH SarabunIT๙" w:eastAsia="TH SarabunIT๙" w:cs="TH SarabunIT๙"/>
          <w:b/>
          <w:i w:val="0"/>
          <w:sz w:val="32"/>
          <w:u w:val="none"/>
          <w:lang w:val="th-TH" w:eastAsia="th-TH" w:bidi="th-TH"/>
        </w:rPr>
        <w:t>มาตรา ๒๔</w:t>
      </w: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 xml:space="preserve">  (เล่มอ้างอิง หน้า 20)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 xml:space="preserve">ใน​การดำเนิน​การ​ไต่สวน​ของพนักงาน ป.ป.ท. ​ให้ดำเนิน​การ​เป็นองค์​คณะ องค์​คณะละไม่น้อยก​ว่าสองคน​ตาม​ที่​เลขาธิ​การ​แต่งตั้ง ประกอบ​ด้วยพนักงาน ป.ป.ท. อย่างน้อยหนึ่งคน ​และจะ​แต่งตั้ง​เจ้า​หน้า​ที่ ป.ป.ท. ไม่เกินสองคนร่วม​เป็นองค์​คณะ​ด้วยก็​ได้ ​ใน​กรณีจำ​เป็นจะ​แต่งตั้ง​เจ้า​หน้า​ที่ ป.ป.ท. เกินสองคนก็​ได้ แต่ต้องมีพนักงาน ป.ป.ท. ไม่น้อยก​ว่ากึ่งหนึ่ง​ของจำนวน​เจ้า​หน้า​ที่ ป.ป.ท. ​ทั้งนี้ เว้นแต่จะ​เป็น​การ​ไต่สวนเบื้องต้นก่อนจะมีคำสั่งรับ​เรื่องไว้พิจารณา ​ใน​กรณีเช่นนี้ ​เลขาธิ​การจะมอบหมาย​ให้พนักงาน ป.ป.ท. คนหนึ่ง​เป็น​ผู้ดำเนิน​การก็​ได้ </w:t>
      </w:r>
      <w:r>
        <w:rPr>
          <w:rFonts w:ascii="TH SarabunIT๙" w:hAnsi="TH SarabunIT๙" w:eastAsia="TH SarabunIT๙" w:cs="TH SarabunIT๙"/>
          <w:b/>
          <w:i w:val="0"/>
          <w:sz w:val="32"/>
          <w:u w:val="single"/>
          <w:lang w:val="th-TH" w:eastAsia="th-TH" w:bidi="th-TH"/>
        </w:rPr>
        <w:t>(​วรรคหนึ่ง — ​ข้อ​ที่บันทึก​ฉบับนี้อ้างถึง)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การ​แต่งตั้ง​และองค์ประกอบ​ขององค์​คณะ​ให้​เป็นไป​ตาม​หลักเกณฑ์​และ​วิธี​การ​ที่​คณะ​กรรม​การ ป.ป.ท. กำหนด (​วรรคสอง)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ใน​การ​ไต่สวน​เรื่องใด​ที่​เป็น​เรื่องสำคัญ​หรือมี​ความซับซ้อน ​คณะ​กรรม​การ ป.ป.ท. จะ​แต่งตั้ง​คณะ​อนุ​กรรม​การ​ไต่สวน​ตาม​ข้อเสนอแนะ​ของ​เลขาธิ​การ​เพื่อดำเนิน​การ​ไต่สวนก็​ได้ (​วรรคสาม)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เมื่อ​ผู้​ไต่สวน​ตาม​วรรคหนึ่ง​และ​วรรคสามดำเนิน​การ​ไต่สวนแล้วเสร็จ ​ให้เสนอ​สำนวน​การ​ไต่สวน​ต่อ​คณะ​กรรม​การ ป.ป.ท. ​เพื่อพิจารณา​ให้​ความเห็นชอบ​และวินิจฉัยชี้มูล​ต่อไป ​ใน​การนี้ ​คณะ​กรรม​การ ป.ป.ท. จะสั่ง​ให้​ไต่สวน​เพิ่มเติม ​หรือจะ​ไต่สวนเองใหม่ทั้งหมด​หรือบางส่วนก็​ได้ ​ทั้งนี้ ​ให้ระบุเหตุผล​ของ​การดำเนิน​การดังกล่าวไว้​ด้วย (​วรรคสี่)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ให้ถือ​ว่า​สำนวน​การ​ไต่สวน​ที่​คณะ​กรรม​การ ป.ป.ท. ​ให้​ความเห็นชอบแล้ว ​เป็น​สำนวน​การ​ไต่สวน​ของ​คณะ​กรรม​การ ป.ป.ท. (​วรรคห้า)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ภายใต้​หลักเกณฑ์​และระยะเวลา​การ​ไต่สวน​ที่​บัญญัติไว้แล้ว​ใน​พระราช​บัญญัตินี้ ​คณะ​กรรม​การ ป.ป.ท. จะออก​ระเบียบกำหนดรายละเอียด​เพิ่มเติมเกี่ยว​กับ​วิธี​การ​ไต่สวน​ของ​ผู้​ไต่สวน​และ​วิธี​การทำ​สำนวน​การ​ไต่สวนก็​ได้ (​วรรคหก)</w:t>
      </w:r>
    </w:p>
    <w:p>
      <w:pPr>
        <w:spacing w:after="40" w:before="0" w:line="240" w:lineRule="auto"/>
        <w:ind w:firstLine="709"/>
      </w:pPr>
      <w:r>
        <w:rPr>
          <w:rFonts w:ascii="TH SarabunIT๙" w:hAnsi="TH SarabunIT๙" w:eastAsia="TH SarabunIT๙" w:cs="TH SarabunIT๙"/>
          <w:b w:val="0"/>
          <w:i/>
          <w:sz w:val="26"/>
          <w:u w:val="none"/>
          <w:lang w:val="th-TH" w:eastAsia="th-TH" w:bidi="th-TH"/>
        </w:rPr>
        <w:t>หมวด ๒ ​การ​ไต่สวน (​มาตรา ๒๓ ถึง​มาตรา ๔๖) ​แก้ไข​เพิ่มเติม​โดย​พระราช​บัญญัติมาตร​การ​ของฝ่ายบริหาร​ใน​การ​ป้องกัน​และ​ปราบปราม​การ​ทุจริต (​ฉบับ​ที่ ๔) ​พ.ศ. ๒๕๖๘</w:t>
      </w:r>
    </w:p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IT๙" w:hAnsi="TH SarabunIT๙" w:eastAsia="TH SarabunIT๙" w:cs="TH SarabunIT๙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