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center"/>
      </w:pPr>
      <w:r>
        <w:t>บันทึกข้อความ</w:t>
      </w:r>
    </w:p>
    <w:p>
      <w:pPr>
        <w:jc w:val="left"/>
      </w:pPr>
      <w:r>
        <w:t>ส่วนราชการ  กลุ่มงานกิจการคณะกรรมการ กบค.   โทร. 4318 (ปุระเชษฐ์ฯ)</w:t>
      </w:r>
    </w:p>
    <w:p>
      <w:pPr>
        <w:jc w:val="left"/>
      </w:pPr>
    </w:p>
    <w:p>
      <w:pPr>
        <w:jc w:val="left"/>
      </w:pPr>
      <w:r>
        <w:t>ที่  ปป 0004.3/ {doc_ref_no}</w:t>
      </w:r>
    </w:p>
    <w:p>
      <w:pPr>
        <w:jc w:val="left"/>
      </w:pPr>
      <w:r>
        <w:t>วันที่ {doc_date} สิงหาคม 2569</w:t>
      </w:r>
    </w:p>
    <w:p>
      <w:pPr>
        <w:jc w:val="left"/>
      </w:pPr>
    </w:p>
    <w:p>
      <w:pPr>
        <w:jc w:val="left"/>
      </w:pPr>
      <w:r>
        <w:t>เรื่อง  ขอให้พิจารณาดำเนินการตามอำนาจหน้าที่</w:t>
      </w:r>
    </w:p>
    <w:p>
      <w:pPr>
        <w:jc w:val="left"/>
      </w:pPr>
    </w:p>
    <w:p>
      <w:pPr>
        <w:jc w:val="left"/>
      </w:pPr>
    </w:p>
    <w:p>
      <w:pPr>
        <w:jc w:val="left"/>
      </w:pPr>
      <w:r>
        <w:t>เรียน ผู้อำนวยการกองบริหารคดี</w:t>
      </w:r>
    </w:p>
    <w:p>
      <w:pPr>
        <w:jc w:val="left"/>
      </w:pPr>
    </w:p>
    <w:p>
      <w:pPr>
        <w:jc w:val="left"/>
      </w:pPr>
    </w:p>
    <w:p>
      <w:pPr>
        <w:jc w:val="center"/>
      </w:pPr>
      <w:r>
        <w:t>ตามที่คณะกรรมการ ป.ป.ท. ได้มีมติในคราวประชุมคณะกรรมการ ป.ป.ท. ครั้งที่ 21/2567</w:t>
      </w:r>
    </w:p>
    <w:p>
      <w:pPr>
        <w:jc w:val="left"/>
      </w:pPr>
      <w:r>
        <w:t>เมื่อวันที่ 18 เมษายน 2567 วาระที่ 6.1 มีมติมอบหมายให้ฝ่ายเลขานุการฯ ทำหนังสือแจ้งเรื่องที่ขาดอายุความ</w:t>
      </w:r>
    </w:p>
    <w:p>
      <w:pPr>
        <w:jc w:val="left"/>
      </w:pPr>
      <w:r>
        <w:t>ทั้งขาดอายุความทั้งเรื่อง บางข้อหา บางกรรม บางคน ให้เลขาธิการคณะกรรมการ ป.ป.ท. ในฐานะหัวหน้าหน่วยงานทราบ</w:t>
      </w:r>
    </w:p>
    <w:p>
      <w:pPr>
        <w:jc w:val="left"/>
      </w:pPr>
      <w:r>
        <w:t>และดำเนินการในส่วนที่เกี่ยวข้องตามอำนาจหน้าที่ต่อไป โดยให้เริ่มตั้งแต่เรื่องที่มีการประชุมตั้งแต่เดือน</w:t>
      </w:r>
    </w:p>
    <w:p>
      <w:pPr>
        <w:jc w:val="left"/>
      </w:pPr>
      <w:r>
        <w:t>เมษายน ๒๕๖๗ เป็นต้นไป นั้น</w:t>
      </w:r>
    </w:p>
    <w:p>
      <w:pPr>
        <w:jc w:val="left"/>
      </w:pPr>
    </w:p>
    <w:p>
      <w:pPr>
        <w:jc w:val="left"/>
      </w:pPr>
    </w:p>
    <w:p>
      <w:pPr>
        <w:jc w:val="center"/>
      </w:pPr>
      <w:r>
        <w:t>ในการประชุมคณะกรรมการ ป.ป.ท. ครั้งที่ {meeting_no} เมื่อวันที่ {meeting_date}</w:t>
      </w:r>
    </w:p>
    <w:p>
      <w:pPr>
        <w:jc w:val="left"/>
      </w:pPr>
      <w:r>
        <w:t>ได้พิจารณาวาระที่ {agenda_item} เรื่องที่ {case_no} ซึ่งเป็นสำนวนคดีของสำนักงานป้องกันและปราบปรามการทุจริต</w:t>
      </w:r>
    </w:p>
    <w:p>
      <w:pPr>
        <w:jc w:val="left"/>
      </w:pPr>
      <w:r>
        <w:t>ในภาครัฐ เขต {pacc_region} จากการพิจารณาปรากฏว่า การกระทำของผู้ถูกกล่าวหา ซึ่งเป็นผู้สนับสนุนการกระทำความผิด</w:t>
      </w:r>
    </w:p>
    <w:p>
      <w:pPr>
        <w:jc w:val="left"/>
      </w:pPr>
      <w:r>
        <w:t>บางกรรมและบางฐานความผิดขาดอายุความ อันเป็นเหตุให้ไม่สามารถดำเนินคดีกับผู้ถูกกล่าวหา</w:t>
      </w:r>
    </w:p>
    <w:p>
      <w:pPr>
        <w:jc w:val="left"/>
      </w:pPr>
      <w:r>
        <w:t>ในฐานความผิดตามประมวลกฎหมายอาญา มาตรา 157 มาตรา 161 และพระราชบัญญัติประกอบรัฐธรรมนูญ</w:t>
      </w:r>
    </w:p>
    <w:p>
      <w:pPr>
        <w:jc w:val="left"/>
      </w:pPr>
      <w:r>
        <w:t>ว่าด้วยการป้องกันและปราบปรามการทุจริต พ.ศ. ๒๕๔๒ และที่แก้ไขเพิ่มเติม มาตรา ๑๒๓/๑ ดังนั้น จึงเห็นควร</w:t>
      </w:r>
    </w:p>
    <w:p>
      <w:pPr>
        <w:jc w:val="left"/>
      </w:pPr>
      <w:r>
        <w:t>แจ้งเรื่องที่ขาดอายุความให้เลขาธิการคณะกรรมการ ป.ป.ท. ทราบ และดำเนินการในส่วนที่เกี่ยวข้อง</w:t>
      </w:r>
    </w:p>
    <w:p>
      <w:pPr>
        <w:jc w:val="left"/>
      </w:pPr>
      <w:r>
        <w:t>ตามอำนาจหน้าที่ต่อไป</w:t>
      </w:r>
    </w:p>
    <w:p>
      <w:pPr>
        <w:jc w:val="left"/>
      </w:pPr>
    </w:p>
    <w:p>
      <w:pPr>
        <w:jc w:val="left"/>
      </w:pPr>
    </w:p>
    <w:p>
      <w:pPr>
        <w:jc w:val="left"/>
      </w:pPr>
      <w:r>
        <w:t>จึงเรียนมาเพื่อโปรดพิจารณา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  <w:r>
        <w:t xml:space="preserve">                                   ร้อยเอก</w:t>
      </w:r>
    </w:p>
    <w:p>
      <w:pPr>
        <w:jc w:val="left"/>
      </w:pPr>
      <w:r>
        <w:t xml:space="preserve">           ลงนามแล้ว</w:t>
      </w:r>
    </w:p>
    <w:p>
      <w:pPr>
        <w:jc w:val="left"/>
      </w:pPr>
    </w:p>
    <w:p>
      <w:pPr>
        <w:jc w:val="left"/>
      </w:pPr>
    </w:p>
    <w:p>
      <w:pPr>
        <w:jc w:val="left"/>
      </w:pPr>
      <w:r>
        <w:t>({preparer_name})</w:t>
      </w:r>
    </w:p>
    <w:p>
      <w:pPr>
        <w:jc w:val="left"/>
      </w:pPr>
    </w:p>
    <w:p>
      <w:pPr>
        <w:jc w:val="center"/>
      </w:pPr>
      <w:r>
        <w:t xml:space="preserve">         นิติกรชำนาญการ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  <w:r>
        <w:t>({kbc_director_name})</w:t>
      </w:r>
    </w:p>
    <w:p>
      <w:pPr>
        <w:jc w:val="left"/>
      </w:pPr>
    </w:p>
    <w:p>
      <w:pPr>
        <w:jc w:val="left"/>
      </w:pPr>
      <w:r>
        <w:t xml:space="preserve">  ผู้อำนวยการกองบริหารคดี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  <w:r>
        <w:t>({group_director_name})</w:t>
      </w:r>
    </w:p>
    <w:p>
      <w:pPr>
        <w:jc w:val="center"/>
      </w:pPr>
      <w:r>
        <w:t xml:space="preserve">           ผู้อำนวยการกลุ่มงานกิจการคณะกรรมการ</w:t>
      </w:r>
    </w:p>
    <w:p>
      <w:pPr>
        <w:jc w:val="left"/>
      </w:pPr>
    </w:p>
    <w:p>
      <w:pPr>
        <w:jc w:val="left"/>
      </w:pPr>
    </w:p>
    <w:p>
      <w:pPr>
        <w:jc w:val="center"/>
      </w:pPr>
      <w:r>
        <w:t>“ พลังศรัทธา พลังล่าทุจริต ”</w:t>
      </w:r>
    </w:p>
    <w:p>
      <w:pPr>
        <w:jc w:val="left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