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850" w:type="dxa"/>
        <w:tblInd w:w="-342" w:type="dxa"/>
        <w:tblLayout w:type="fixed"/>
        <w:tblLook w:val="04A0" w:firstRow="1" w:lastRow="0" w:firstColumn="1" w:lastColumn="0" w:noHBand="0" w:noVBand="1"/>
      </w:tblPr>
      <w:tblGrid>
        <w:gridCol w:w="990"/>
        <w:gridCol w:w="5220"/>
        <w:gridCol w:w="3060"/>
        <w:gridCol w:w="1170"/>
        <w:gridCol w:w="1260"/>
        <w:gridCol w:w="3150"/>
      </w:tblGrid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 xml:space="preserve">๑.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 xml:space="preserve">ระบบเฝ้าระวังพื้นที่ขนาดใหญ่ มีคุณลักษณะดังนี้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อุปกรณ์ตรวจจับสำหรับพื้นที่ขนาดใหญ่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ความละเอียดของภาพ (Resolution) ที่ ๗๐ ล้านพิกเซล (Pixel)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มุมมองภาพในแนวนอน (Horizontal) ไม่น้อยกว่า ๓๕ องศา และในแนวตั้ง (Vertical) ไม่น้อยกว่า ๒๐ องศา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เซนเซอร์ตัวตรวจจับภาพ (Image Sensor) แบบ CMOS ที่มีขนาด ๑/๑.๘ นิ้ว หรือไม่น้อยกว่า ๘ ล้านพิกเซล (Pixel)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ขนาดของ Array เซนเซอร์รวมไม่น้อยกว่า ๙ ชุด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ความไวแสง (Illumination) ไม่เกิน ๐.๑๓ lux สำหรับการแสดงภาพสี (Color) และไม่เกิน ๐.๐๕ lux สำหรับการแสดงภาพขาวดำ (Black/White)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สามารถลดสัญญาณรบกวน (Noise Reduction) แบบ ๒D หรือ ๓D หรือ HNR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การประมวลผลภาพ (Image Processing) อย่างน้อยดังนี้ Auto white balance, Auto Gain, Auto Shutter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อัตราส่วนสัญญาณต่อสัญญาณรบกวน (SNR) ไม่น้อยกว่า ๕๐ dB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สามารถใช้งานตามโปรโตคอล HTTP, RTSP, RTCP, RTP ได้เป็นอย่างน้อย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รองรับการใช้งานผ่านระบบเครือข่าย IPV๔ และ IPV๖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สามารถทำงานได้ที่อุณหภูมิ -๑๐ องศาเซลเซียส ถึง ๖๐ องศาเซลเซียส และสามารถทำงานได้ในสภาวะความชื้นสัมพัทธ์ (Relative Humidity) ไม่เกิน ๙๕% โดยไม่เกิดการควบแน่น (Non-condensing)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ผ่านการทดสอบมาตรฐาน IP๖๖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๑.๑.๑๓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ระบบป้องกันฟ้าผ่าแรงดันสูง (Lightning protection) ป้องกันแรงดันไฟฟ้ากระชาก (Surge Protection) และป้องกันการคายประจุไฟฟ้าสถิต (anti-static)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กล้องโทรทัศน์วงจรปิดชนิดเครือข่าย แบบปรับมุมมอง สำหรับติดตั้งภายนอกอาคาร (Pan tilt Zoom)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สามารถทำการหมุน (Pan) ได้ไม่น้อยกว่า ๓๖๐ องศา การก้มเงย (Tilt) กับระนาบ (Horizontal) ได้ไม่น้อยกว่า ๙๐ องศา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ความละเอียดของภาพ (Resolution) ไม่น้อยกว่า ๓๘๔๐ x ๒๑๖๐ พิกเซล (Pixel)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การย่อขยาย (Zoom) แบบดิจิตอล (Digital Zoom) ได้ไม่น้อยกว่า ๑๒ เท่า และการย่อขยาย (Zoom) แบบออปติคอล (Optical Zoom) ได้ไม่น้อยกว่า ๓๑ เท่า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ความไวแสง (Illumination) ไม่เกิน ๐.๒ lux สำหรับการแสดงภาพสี (Color) และไม่เกิน ๐.๐๕ lux สำหรับการแสดงภาพขาวดำ (Black/White)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สามารถแสดงรายละเอียดของภาพที่มีความแตกต่างของแสงมาก (Wide Dynamic Range) ได้ไม่น้อยกว่า ๑๒๐ dB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ผ่านการทดสอบมาตรฐาน IP๖๖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สามารถส่งสัญญาณภาพ (Video Compression) ได้ตามมาตรฐาน MJPEG หรือ H.264 หรือ H.265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เซนเซอร์ตรวจจับภาพ (Image Sensor) แบบ CMOS ชนิด Progressive Scan ที่มีขนาด ๑/๓ นิ้วหรือดีกว่า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 (Field of view)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๑.๒.๙.๑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มุมมองการตรวจจับภาพแนวนอน (Field of view Horizontal) อยู่ในช่วง ๖๐.๖-๒.๐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๑.๒.๙.๒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มุมมองการตรวจจับภาพแนวตั้ง (Field of view Vertical) อยู่ในช่วง ๓๖.๕-๑.๑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frame rate ไม่น้อยกว่า ๕๐ ภาพต่อวินาที (Frame per Second)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๑.๒.๑๑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ระยะโฟกัส (Focal Length) ๗ - ๒๑๔ มม.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กล้องโทรทัศน์วงจรปิดเครือข่ายความละเอียดสูง แบบไม่สามารถปรับมุมมองได้ ชนิด Day/Night สำหรับติดตั้งภายนอกอาคาร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ความละเอียดภาพ (Resolution) ไม่น้อยกว่า ๒,๕๖๐x๑,๙๒๐ พิกเซล (Pixel) หรือไม่น้อยกว่า ๔,๙๑๕,๒๐๐ pixel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frame rate ไม่น้อยกว่า ๒๕ ภาพต่อวินาที (Frame per Second)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ใช้เทคโนโลยี IR-Cut filter หรือ Infrared Cut-off Removable (ICR) สำหรับ การบันทึกภาพได้ทั้งกลางวันและกลางคืนโดยอัตโนมัติ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ความไวแสง (Illumination) ไม่เกิน ๐.๒ lux สำหรับการแสดงภาพสี (Color) และไม่เกิน ๐.๐๒ lux สำหรับการแสดงภาพขาวดำ (Black/White)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เซนเซอร์ตรวจจับภาพ (Image Sensor) แบบ CMOS ชนิด Progressive Scan ที่มีขนาดเซนเซอร์ ๑/๓ นิ้วหรือดีกว่า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มีผลต่างค่าความยาวโฟกัสต่ำสุดกับค่าความยาวโฟกัสสูงสุดไม่น้อยกว่า ๔.๕ มิลลิเมตร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สามารถตรวจจับความเคลื่อนไหวอัตโนมัติ (Motion Detection)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สามารถแสดงรายละเอียดของภาพที่มีความแตกต่างของแสงมาก (Wide Dynamic Range) หรือ Super Dynamic Range)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สามารถส่งสัญญาณภาพ (Streaming) ไปแสดงได้อย่างน้อย ๒ แหล่ง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ได้รับมาตรฐาน Onvif (Open Network Video Interface Forum)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สามารถส่งสัญญาณภาพได้ตามมาตรฐาน H.264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สามารถใช้งานตามโปรโตคอล (Protocol) IPv4 และ IPv6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ตัวกล้องได้มาตรฐาน IP๖๖ หรือติดตั้งอุปกรณ์เพิ่มเติมสำหรับหุ้มกล้อง (Housing) ที่ได้มาตรฐาน IP๖๖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สามารถทำงานได้ที่อุณหภูมิ -๑๐ °C ถึง ๕๐ °C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๑๐/๑๐๐ Base-T หรือดีกว่า และ สามารถ ทำงานได้ตามมาตรฐาน IEEE ๘๐๒.๓af หรือ IEEE ๘๐๒.๓at (Power over Ethernet) ในช่องเดียวกันได้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สามารถใช้งานกับมาตรฐาน HTTP, HTTPS, "NTP หรือ SNMP", SNMP , RTSP , IEEE๘๐๒.๑X ได้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มีช่องสำหรับบันทึกข้อมูลลงหน่วยความจำแบบ SD Card หรือ MicroSD Card หรือ Mini SD Card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ต้องมี Software Development Kit (SDK) หรือ Application Programming Interface (API) ที่มี ลิขสิทธิ์ถูกต้อง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๑.๓.๑๙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ได้รับมาตรฐานด้านความปลอดภัยต่อผู้ใช้งาน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ผู้ผลิตต้องได้รับมาตรฐานด้านระบบการจัดการสิ่งแวดล้อม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ผู้ผลิตต้องได้รับมาตรฐานด้านการบริหารจัดการหรือบริหารงานที่มีคุณภาพ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 (Field of view)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มุมมองการตรวจจับภาพแนวนอน (Field of view Horizontal) อยู่ ในช่วง ๑๐๐-๒๘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๑.๓.๒๒.๒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มุมมองการตรวจจับภาพแนวตั้ง (Field of view Vertical) อยู่ในช่วง ๗๒-๒๑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กล้องโทรทัศน์วงจรปิดเครือข่ายความละเอียดสูง แบบสามารถปรับมุมมองได้ ชนิด Day/Night สำหรับติดตั้งภายนอกอาคาร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สามารถทำการหมุน (Pan) ได้ไม่น้อยกว่า ๓๖๐ องศา การก้มเงย (Tilt) กับระนาบ (Horizontal) ได้ไม่น้อยกว่า ๙๐ องศา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ความละเอียดภาพ (Resolution) ไม่น้อยกว่า ๒,๖๘๘x๑,๕๑๒ พิกเซล (Pixel) หรือไม่น้อยกว่า ๔,๐๖๔,๒๕๖ pixel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frame rate ไม่น้อยกว่า ๕๐ ภาพต่อวินาที (Frame per Second)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การย่อขยาย (Zoom) แบบดิจิตอล (Digital Zoom) ได้ไม่น้อยกว่า ๑๐ เท่า การย่อขยาย (Zoom) แบบออปติคอล (Optical Zoom) ได้ไม่น้อยกว่า ๓๐ เท่า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มีความไวแสงน้อยสุด ไม่มากกว่า ๐.๑ LUX สำหรับการแสดงภาพสี (Color) และ ไม่มากกว่า ๐.๐๐๙ LUX สำหรับการแสดงภาพขาวดำ (Black/White)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สามารถแสดงรายละเอียดของภาพที่มีความแตกต่างของแถบ (Wide Dynamic Range) ได้ไม่น้อยกว่า ๑๒๐ dB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ผ่านการทดสอบมาตรฐาน IP๖๖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สามารถส่งสัญญาณภาพ (Video Compression) ได้ตามมาตรฐาน MJPEG หรือ H.๒๖๔ หรือ H.๒๖๕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เซนเซอร์ตรวจจับภาพ (Image Sensor) แบบ CMOS ชนิด Progressive Scan ที่มีขนาด ๑/๓ นิ้วหรือดีกว่า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 (Field of view)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๑.๔.๑๐.๑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มุมมองการตรวจจับภาพแนวนอน (Field of view Horizontal) อยู่ ในช่วง ๕๓.๑-๓.๔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๑.๔.๑๐.๒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มุมมองการตรวจจับภาพแนวตั้ง (Field of view Vertical) อยู่ในช่วง ๓๐.๔- ๑.๙ องศา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สามารถตรวจจับความเคลื่อนไหวอัตโนมัติ Motion Detection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สามารถส่งสัญญาณภาพ (Streaming) ไปแสดงได้อย่างน้อย ๒ แหล่ง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ได้รับมาตรฐาน Onvif (Open Network Video Interface Forum)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สามารถใช้งานตามโปรโตคอล (Protocol) IPvs และ IPv6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๑๐/๑๐๐ Base-T หรือดีกว่า และ สามารถ ทำงานได้ตามมาตรฐาน IEEE ๘๐๒.๓af หรือ IEEE ๘๐๒.๓at (Power over Ethernet) ในช่องเดียวกันได้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ตัวกล้องได้มาตรฐาน IPvs หรือติดตั้งอุปกรณ์เพิ่มเติมสำหรับหุ้มกล้อง (Housing) ที่ได้มาตรฐาน IPvs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สามารถทำงานได้ที่อุณหภูมิ -๑๐ °C ถึง ๕๐ °C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สามารถใช้งานกับมาตรฐาน HTTP, HTTPS, "NTP หรือ SNMP", SNMP , RTSP , IEEE๘๐๒.๑X ได้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๑.๔.๑๙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มีช่องสำหรับบันทึกข้อมูลลงหน่วยความจำแบบ SD Card หรือ MicroSD Card หรือ Mini SD Card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๑.๔.๒๐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ต้องมี Software Development Kit (SDK) หรือ Application Programming Interface (API) ที่มี ลิขสิทธิ์ถูกต้อง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๑.๔.๒๑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ได้รับมาตรฐานด้านความปลอดภัยต่อผู้ใช้งาน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๑.๔.๒๒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ผู้ผลิตต้องได้รับมาตรฐานด้านระบบการจัดการสิ่งแวดล้อม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๑.๔.๒๓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ผู้ผลิตต้องได้รับมาตรฐานด้านการบริหารจัดการหรือบริหารงานที่มีคุณภาพ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 xml:space="preserve">๒.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 xml:space="preserve">ระบบแจ้งเตือนการรุกล้ำทางวิ่ง (Runway Intrusion System)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อุปกรณ์ระบุตำแหน่งผ่านดาวเทียม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เป็นอุปกรณ์ระบุตำแหน่งที่มีความแม่นยำสูงโดยใช้ดาวเทียม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รองรับความถี่การรับสัญญาณคือ Beidou หรือ GPS หรือ Galileo หรือ Glonass หรือเทียบเท่า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ค่าความแม่นยำในการระบุตำแหน่ง (Positioning Accuracy) ไม่เกิน ๒.๕ 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ระยะเวลาในการระบุตำแหน่งครั้งแรก (Time To First Fix: TTFF) ตามเกณฑ์ ดังต่อไปนี้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ชนิด Cold Start (ครั้งแรก) มีระยะเวลาในการระบุตำแหน่งไม่เกิน ๖๐ วินาที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ชนิด Hot Start (ครั้งถัดไป) มีระยะเวลาในการระบุตำแหน่งไม่เกิน ๑๕ วินาที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ค่าความแม่นยำด้านเวลา (Time Accuracy) มีความคลาดเคลื่อนไม่เกิน ๓๐ นาโนวินาที (๓๐ ns) ภายใน ๑ PPS (One Pulse Per Second)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๒.๑.๖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สามารถทำงานได้ที่อุณหภูมิ -๑๐ องศาเซลเซียส ถึง ๗๐ องศาเซลเซียส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ระบบติดตามอากาศยาน Automatic Dependent Surveillance Broadcast (ADS-B)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ความถี่ในการรับสัญญาณ ๑๐๙๐ MHz หรือตามมาตรฐานผู้ผลิต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ความไวของเครื่องรับสัญญาณ (Dynamic Range) ไม่น้อยกว่า -๘๐ dBm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สามารถแสดงผลตำแหน่งอากาศยานไม่น้อยกว่า ๑๐๐ nm (nautical miles)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อุณหภูมิในการทำงานอยู่ในช่วง -๑๐ องศาเซลเซียส ถึง ๖๐ องศาเซลเซียส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ความเข้ากันได้ทางแม่เหล็กไฟฟ้า (Electromagnetic compatibility) สอดคล้อง กับข้อบังคับ RTCA DO-๒๖๐/๒๖๐A/๒๖๐B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รูปแบบเอาต์พุตข้อมูล: CATO2D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รูปแบบสัญญาณที่รองรับ: DF4, DF5, DF17, DF18, DF20, DF21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ซอฟแวร์การแจ้งเตือนการรุกล้ำทางวิ่ง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สามารถกำหนดพื้นที่เขตหวงห้ามหรือเขตทางวิ่งที่ต้องการให้แจ้งเตือนได้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ตำแหน่งของยานพาหนะที่รุกล้ำเขตหวงห้ามหรือเขตทางวิ่งที่กำหนดได้บนแผนที่อิเล็กทรอนิกส์ (E-Map) โดยอัตโนมัติ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สามารถแจ้งเตือนผู้ขับขี่ยานพาหนะและห้องควบคุม เมื่อเกิดเหตุการณ์รุกล้ำเขตหวงห้ามหรือทางวิ่งได้แบบ Real-Time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สามารถบันทึกเหตุการณ์ประจำวันในบริเวณท่าอากาศยานและทางวิ่งได้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สามารถแสดงข้อมูลเหตุการณ์ย้อนหลัง (Play back) ของยานพาหนะในพื้นที่แสดงผลที่กำหนด ณ เวลาที่ยานพาหนะเคลื่อนตัวเข้าสู่ทางวิ่งได้อย่างสมบูรณ์ และชัดเจน ต้องมีข้อมูลอย่างน้อยดังต่อไปนี้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๒.๓.๕.๑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วันที่และเวลาในรูปแบบ วันที่/เดือน/ปี และ ชั่วโมง:นาที:วินาที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๒.๓.๕.๒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ความเร็วของยานพาหนะเป็นกิโลเมตรต่อชั่วโมง (กม./ชม.)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๒.๓.๕.๓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เวลาโดยประมาณ (Estimate Time) ที่อากาศยานจะออกจากทางวิ่ง: แสดงเวลาที่ยานพาหนะจะออกจากบริเวณทางวิ่งก่อนที่อากาศยานจะเข้าสู่ทางวิ่ง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สามารถแจ้งเตือนและติดตามตำแหน่ง รวมถึงแสดงสถานะการรุกล้ำของยานพาหนะแบบ Real-Time อย่างน้อย ๒ ระดับ คือ ก่อนเข้าเขตหวงห้ามหรือเขตทางวิ่ง และ เมื่อเข้าสู่เขตหวงห้ามหรือเขตทางวิ่ง ที่กำหนดไว้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สามารถจัดการเหตุการณ์การรุกล้ำทางวิ่งหรือเขตหวงห้าม อย่างน้อยดังนี้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๒.๓.๗.๑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การยืนยันการรุกล้ำ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๒.๓.๗.๒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การจัดการและจัดลำดับความสำคัญ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๒.๓.๗.๓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การจัดทำและบันทึกเอกสาร บันทึกเหตุการณ์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รองรับการแจ้งเตือนเหตุการณ์พร้อมกันหลายรายการ โดยแสดงยานพาหนะทั้งหมดที่รุกล้ำในช่วงเวลาเดียวกัน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สามารถกำหนดขอบเขตการแจ้งเตือนของพื้นที่ด้านอากาศได้ เมื่อมียานพาหนะรุกล้ำพื้นที่ที่กำหนดไว้และสามารถติดตามเส้นทางการเคลื่อนที่ของยานพาหนะได้อัตโนมัติ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สามารถกำหนดเป้าหมายที่ต้องการให้ติดตามได้อัตโนมัติ (Target tracking)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สามารถจัดเก็บข้อมูลวิดีโอเพื่อการดึงข้อมูลอย่างมีประสิทธิภาพ และสำรองข้อมูลได้อย่างน้อย ๖๐ วัน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สามารถส่งออก (Export) ข้อมูลบนระบบ วิดีโอและภาพที่สำรองไว้ได้ โดยเป็นไฟล์สกุล .csv , .jpg , .mp4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๒.๓.๑๓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สามารถกำหนดสิทธิ์การใช้งานซอฟแวร์ของผู้ใช้งานได้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 xml:space="preserve">๓.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 xml:space="preserve">ซอฟต์แวร์บริหารจัดการระบบอำนวยความสะดวกและความปลอดภัย ลานจอดอากาศยาน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ระบบบริหารจัดการและวิเคราะห์ข้อมูล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สามารถแสดงตำแหน่งของยานพาหนะในพื้นที่ลานจอดอากาศยานได้แบบ Real-Time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สามารถแสดงสถานะการทำงานของยานพาหนะ และอากาศยานในลานจอดอากาศยานของท่าอากาศยานได้แบบ Real-Time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สามารถรับการแจ้งเตือน เมื่อตรวจพบการรุกล้ำลานจอดอากาศยาน และแสดงตำแหน่งแบบReal-Time บนหน้าจอแสดงผล ซึ่งสามารถตรวจสอบวิดีโอสตรีมของกล้องที่ติดตามยานพาหนะที่รุกล้ำลานจอดอากาศยานได้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สามารถตรวจสอบเหตุการณ์ประจำวันทั้งหมด ได้ในบริเวณลานจอดอากาศยาน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สามารถค้นหาประวัติย้อนหลังได้ตามวันที่ต้องการ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๓.๑.๖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แผนผังท่าอากาศยานจะแสดงตามแต่ละท่าอากาศยาน แผนผังสามารถปรับเปลี่ยนได้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การจำลองเส้นทางในเขตลานจอด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สามารถจำลองเส้นทางของอากาศยานขณะปฏิบัติการบินภาคพื้น บนแผนผังแบบอิเล็กทรอนิกส์ (E-Map) ในบริเวณลานจอดอากาศยานได้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สามารถจำลองเส้นทางและกำหนดจุดหวงห้ามในการเข้าและออกของยานพาหนะได้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สามารถแจ้งเตือนและติดตามตำแหน่ง รวมถึงแสดงสถานะการรุกล้ำของยานพาหนะแบบ Real-Time อย่างน้อย ๒ ระดับ คือ ก่อนเข้าเขตหวงห้าม หรือเขตทางวิ่ง และ เมื่อเข้าสู่เขตหวงห้ามหรือเขตทางวิ่ง ที่กำหนดไว้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สามารถจัดการเหตุการณ์การรุกล้ำทางวิ่งหรือเขตหวงห้าม อย่างน้อยดังนี้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การยืนยันการรุกล้ำ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การจัดการและจัดลำดับความสำคัญ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การจัดทำและบันทึกเอกสาร บันทึกเหตุการณ์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รองรับการแจ้งเตือนเหตุการณ์พร้อมกันหลายรายการ โดยแสดงยานพาหนะทั้งหมดที่รุกล้ำในช่วงเวลาเดียวกัน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สามารถกำหนดขอบเขตการแจ้งเตือนของพื้นที่ด้านอากาศได้ เมื่อมียานพาหนะรุกล้ำพื้นที่ที่กำหนดไว้และสามารถติดตามเส้นทางการเคลื่อนที่ของยานพาหนะได้อัตโนมัติ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สามารถกำหนดเป้าหมายที่ต้องการให้ติดตามได้อัตโนมัติ (Target tracking)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สามารถจัดเก็บข้อมูลวิดีโอเพื่อการดึงข้อมูลอย่างมีประสิทธิภาพ และสำรองข้อมูลได้อย่างน้อย ๖๐ วัน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สามารถส่งออก (Export) ข้อมูลบนระบบ วิดีโอและภาพที่สำรองไว้ได้ โดยเป็นไฟล์สกุล .csv , .jpg , .mp4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๓.๒.๑๐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สามารถกำหนดสิทธิ์การใช้งานซอฟแวร์ของผู้ใช้งานได้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ระบบบริหารจัดการอุปกรณ์นำอากาศยานเข้าหลุมจอด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สามารถแสดงข้อมูลเวลาที่อากาศยานเข้าและออกจากหลุมจอดได้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ระบบตรวจจับสามารถจำแนกเป้าหมายได้อย่างน้อย ดังนี้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อากาศยาน</w:t>
              <w:br/>
              <w:t xml:space="preserve">- มุมมองปกติสามารถมองเห็นได้ที่ระยะ ๔๐๐ เมตร</w:t>
              <w:br/>
              <w:t xml:space="preserve">- การย่อขยาย ๓๑ เท่าสามารถมองเห็นได้ที่ระยะ ๑,๐๐๐ 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ยานพาหนะ</w:t>
              <w:br/>
              <w:t xml:space="preserve">- มุมมองปกติสามารถมองเห็นได้ที่ระยะ ๑๕๐ เมตร</w:t>
              <w:br/>
              <w:t xml:space="preserve">- การย่อขยาย ๓๑ เท่าสามารถมองเห็นได้ที่ระยะ ๕๐๐ 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คน สัตว์ หรือวัตถุ ที่มีขนาดไม่น้อยกว่า ๓๐ ซ.ม. x ๓๐ ซ.ม. X ๓๐ ซ.ม. (กว้างหยาวงสูง)</w:t>
              <w:br/>
              <w:t xml:space="preserve">- มุมมองปกติสามารถมองเห็นได้ที่ระยะ ๕๐ เมตร</w:t>
              <w:br/>
              <w:t xml:space="preserve">- การย่อขยาย ๓๑ เท่าสามารถมองเห็นได้ที่ระยะ ๕๐๐ 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สามารถแจ้งเตือนเมื่อมีวัตถุที่มีขนาดไม่น้อยกว่า ๓๐ ซ.ม. X ๓๐ ซ.ม. X ๓๐ ซ.ม. (กว้างหยาวงสูง) ที่บริเวณหลุมจอดในระยะ ๓๐ เมตร และแสดงภาพของวัตถุที่ตรวจจับได้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สามารถแสดงข้อมูลอากาศยานได้ดังต่อไปนี้ 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ประเภทหรือรุ่นของอากาศยาน (Type Aircraft)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หมายเลขเที่ยวบิน (Flight Number)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เลขทะเบียนอากาศยานที่ใช้หลุมจอด (Aircraft Registration)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๓.๓.๕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สามารถแสดงสถานะการทำงานของยานพาหนะและอากาศยานในลานจอด อากาศยานแบบ Real-Time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ระบบสำรองทดแทนระบบหลักในกรณีที่ระบบหลักทำงานผิดพลาด (Redundant)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การตรวจสอบระบบและจัดการการสำรองข้อมูลทั้งหมดแบบ Real-Time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ระบบสามารถแจ้งเตือนทันที (Immediate Notifications) เมื่อพบว่า ระบบหลักทำงานผิดพลาด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ระบบสามารถแสดงข้อมูลในรูปแบบรายงานได้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การตรวจสอบระบบ (High Availability &amp; Hot Standby)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ระบบสำรองอยู่ในโหมดเตรียมพร้อมใช้งานเสมอ เพื่อรองรับการสลับ การทำงานทดแทนได้อย่างทันท่วงทีในกรณีที่ระบบหลักทำงานผิดพลาด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ระบบสำรองมีการเชื่อมข้อมูลเป็นข้อมูลปัจจุบันกับระบบหลักเสมอ เพื่อให้พร้อมต่อการทำงานทดแทนกัน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ระบบสามารถสลับการทำงานได้แบบอัตโนมัติ เมื่อระบบหลักทำงาน ผิดพลาด เพื่อให้การทำงานเป็นไปอย่างต่อเนื่องโดยไม่กระทบกับระบบหลัก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ระบบเก็บข้อมูลการทำงาน (Distributed &amp; Redundant Storage)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ระบบมีการจัดเก็บข้อมูลแบบกระจายส่วนในระบบ เพื่อให้มีความพร้อม สำหรับการนำข้อมูลมาใช้อย่างต่อเนื่องเมื่อระบบหลักทำงานผิดพลาด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ข้อมูลวิดีโอเฝ้าระวังมีการจัดเก็บในหลายพื้นที่ในระบบ เพื่อให้มั่นใจว่า ข้อมูลไม่สูญหาย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๓.๔.๓.๓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ระบบเก็บข้อมูลต้องรองรับ การเพิ่มขนาดพื้นที่จัดเก็บและความสามารถ ในการประมวลผลโดยไม่ต้องหยุดการทำงานของระบบ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 xml:space="preserve">๔.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 xml:space="preserve">คอมพิวเตอร์และอุปกรณ์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เครื่องคอมพิวเตอร์บริหารจัดการและประมวลผล (Work station)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ที่มีอย่างน้อย ๒๐ คอร์ (๒๐ Core) และ ๒๐ คอร์เสมือน (๒๐ Thread)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มีเทคโนโลยีเพิ่มสัญญาณนาฬิกาได้ในกรณีที่ต้องใช้ความสามารถในการ ประมวลผลสูง (Turbo Boost หรือ Max Boost) โดยมีความเร็วสัญญาณนาฬิกา สูงสุดไม่น้อยกว่า ๕ GHz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มีหน่วยความจำแบบ Cache Memory รวมระดับ (Level) เดียวกันขนาดไม่น้อยกว่า ๑๖ MB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มีหน่วยประมวลผลเพื่อแสดงภาพ โดยมีคุณลักษณะอย่างใดอย่างหนึ่ง หรือดีกว่า ดังนี้</w:t>
              <w:br/>
              <w:t xml:space="preserve">๑) เป็นแผงวงจรเพื่อแสดงภาพแยกจากแผงวงจรหลักที่มีหน่วยความจำขนาดไม่ น้อยกว่า ๒ GB หรือ</w:t>
              <w:br/>
              <w:t xml:space="preserve">๒) มีหน่วยประมวลผลเพื่อแสดงภาพติดตั้งอยู่ภายในหน่วยประมวลผลกลาง แบบ Graphics Processing Unit ที่สามารถใช้หน่วยความจำหลักในการ แสดงภาพขนาดไม่น้อยกว่า ๒ GB หรือ</w:t>
              <w:br/>
              <w:t xml:space="preserve">๓) มีหน่วยประมวลผลเพื่อแสดงภาพที่มีความสามารถในการใช้หน่วยความจำ หลักในการแสดงภาพ ขนาดไม่น้อยกว่า ๒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DDR๕ หรือดีกว่า ขนาดความจุรวมไม่น้อยกว่า ๑๖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มีหน่วยจัดเก็บข้อมูลชนิด SAS หรือ SATA ที่มีความเร็วรอบไม่น้อยกว่า ๑๐,๐๐๐ รอบต่อนาที ขนาดความจุไม่น้อยกว่า ๑ TB และ ชนิด Solid State Drive หรือดีกว่า ขนาดความจุไม่น้อยกว่า ๕๐๐ GB จำนวนไม่น้อยกว่า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๑๐/๑๐๐/๑๐๐๐ Base-T หรือดีกว่า จำนวนไม่น้อยกว่า ๑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 (Interface) แบบ USB ๒.๐ หรือสูงกว่า ไม่น้อยกว่า ๓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มีแป้นพิมพ์และเมาส์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ติดตั้ง Microsoft Windows ๑๑ หรือระบบปฏิบัติการใหม่กว่าที่มีลิขสิทธิ์ถูกต้อง ตามกฎหมาย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หน้าจอแสดงผล (Monitor) ขนาดไม่น้อยกว่า ๓๐ นิ้ว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เครื่องคอมพิวเตอร์แม่ข่ายแอปพลิเคชัน (Application server)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แบบ ๑๒ แกนหลัก (๑๒ Core) หรือดีกว่า สำหรับคอมพิวเตอร์แม่ข่าย (Server) โดยเฉพาะและมีความเร็วสัญญาณนาฬิกา พื้นฐานไม่น้อยกว่า ๒.๒ GHZ ในจำนวนไม่น้อยกว่า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มีหน่วยความจำแบบ ๖๔ bit หรือดีกว่า มี หน่วยความจำแบบ Cache Memory รวมระดับ (Level) เดียวกันไม่น้อยกว่า ๑๓ MB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ชนิด ECC DDR๔ หรือดีกว่า ขนาดความจุรวมไม่ น้อยกว่า ๖๔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รองรับการทำงาน RAID ไม่น้อยกว่า RAID ๐, ๑, ๕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 SCSI หรือ SAS หรือ SATA ที่มีความเร็วรอบไม่น้อยกว่า ๑๐,๐๐๐ รอบต่อนาที ขนาดความจุไม่น้อยกว่า ๑ TB และชนิด Solid State Drive หรือดีกว่า ขนาดความจุไม่น้อยกว่า ๔๘๐ GB จำนวนไม่น้อยกว่า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๑๐/๑๐๐/๑๐๐๐ Base-T จำนวนไม่น้อยกว่า ๒ ช่องหรือดีกว่า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เครื่องคอมพิวเตอร์แม่ข่ายสำหรับกราฟฟิก (Graphic Process Unit server)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แบบ ๑๖ แกนหลัก (๑๖ Core) หรือดีกว่า สำหรับคอมพิวเตอร์แม่ข่าย (Server) โดยเฉพาะและมีความเร็วสัญญาณนาฬิกา พื้นฐานไม่น้อยกว่า ๒ GHZ จำนวนไม่น้อยกว่า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ชนิด ECC DDR๔ หรือดีกว่า ขนาดความจุรวมไม่ น้อยกว่า ๑๒๘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 SCSI หรือ SAS หรือ SATA ที่มีความเร็วรอบไม่น้อยกว่า ๑๐,๐๐๐ รอบต่อนาที ขนาดความจุไม่น้อยกว่า ๒ TB และชนิด Solid State Drive หรือดีกว่า ขนาดความจุไม่น้อยกว่า ๙๐๐ GB จำนวนไม่น้อยกว่า ๔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มีอุปกรณ์ประมวลผล GPU ชนิด GDDR๖ VRAM ขนาดความจุรวมไม่น้อยกว่า ๑๓๖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๑๐Gb Base-T จำนวนไม่น้อยกว่า ๒ ช่องหรือดีกว่า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๔.๓.๖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เครื่องคอมพิวเตอร์แม่ข่ายสำหรับจัดเก็บข้อมูล (Storage server)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แบบ ๑๖ แกนหลัก (๑๖ Core) หรือดีกว่า สำหรับคอมพิวเตอร์แม่ข่าย (Server) โดยเฉพาะและมีความเร็วสัญญาณนาฬิกา พื้นฐานไม่น้อยกว่า ๒ GHZ ในจำนวนไม่น้อยกว่า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ชนิด ECC DDR๔ หรือดีกว่า ขนาดความจุรวมไม่ น้อยกว่า ๑๒๘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สนับสนุนการทำงาน RAID ไม่น้อยกว่า RAID ๐, ๑, ๕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 SCSI หรือ SAS หรือ SATA ที่มีความเร็วรอบไม่น้อยกว่า ๗,๒๐๐ รอบต่อนาที ขนาดความจุไม่น้อยกว่า ๑๒ TB จำนวนไม่น้อยกว่า ๑๐ หน่วย และชนิด Solid State Drive หรือดีกว่า ขนาดความจุไม่น้อยกว่า ๑.๖ TB จำนวนไม่น้อยกว่า ๖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๑๐Gb Base-T จำนวนไม่น้อยกว่า ๒ ช่องหรือดีกว่า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๔.๔.๖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มีแหล่งจ่ายไฟสำรอง (Power Supply) แบบ Redundant หรือ Hot Swap หรือ Hot Plug จำนวน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ตู้สำหรับจัดเก็บเครื่องคอมพิวเตอร์และอุปกรณ์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เป็นตู้ Rack บิด ขนาด ๑๙ นิ้ว ๔๒U มีความกว้างไม่น้อยกว่า ๖๐ เซนติเมตร ความลึกไม่น้อยกว่า ๑๐๐ เซนติเมตรและความสูงไม่น้อยกว่า ๑๙๐ เซนติเมตร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ผลิตจากเหล็กแผ่นเคลือบสังกะสีแบบชุบด้วยไฟฟ้า (Electro-galvanized steel sheet)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มีปลั๊กไฟไม่น้อยกว่า ๑๒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มีพัดลมระบายอากาศไม่น้อยกว่า ๒ ตัว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๔.๕.๕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มีอุปกรณ์สลับสัญญาณได้ไม่น้อยกว่า ๘ Port (KVM Switch) (Touch Pad) ประกอบด้วย จอภาพที่ถูกออกแบบและติดตั้งอยู่ภายในตู้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เครื่องสำรองไฟฟ้า ๑๐ kVA (ระบบไฟฟ้า ๓ เฟส)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๔.๖.๑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มีกำลังไฟฟ้าขาออก (Output) ไม่น้อยกว่า ๑๐ kVA (๘,๐๐๐ Watts)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๔.๖.๒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มีช่วงแรงดันไฟฟ้า Input (VAC) แบบ ๓ เฟส ไม่น้อยกว่า ๓๘๐ +/-๒๐%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๔.๖.๓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มีช่วงแรงดันไฟฟ้า Output (VAC) ไม่มากกว่า ๒๒๐ +/-๑%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๔.๖.๔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สามารถสำรองไฟฟ้าที่ Full Load ได้ไม่น้อยกว่า ๑๐ นาที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อุปกรณ์เครือข่ายการสื่อสารข้อมูล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อุปกรณ์กระจายสัญญาณ (Industrial Switch) สำหรับใช้งานภาคสนาม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เป็นอุปกรณ์ ๒ Port Gigabit switch มีช่อง Network Ports ไม่น้อย กว่า ๘ ช่อง ๑๐/๑๐๐/๑๐๐๐ Mbps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รองรับมาตรฐาน IEEE ๘๐๒.๑P, IEEE ๘๐๒.๑Q VLAN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 VLAN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มีคุณสมบัติ Switch Capacity ๒๐ Gbps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รองรับเทคโนโลยีการรักษาความปลอดภัยอย่างน้อยดังนี้ Unicast Suppression, Multicast Suppression, Broadcast Suppression และการกำหนดที่อยู่ MAC แบบ Blackhole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อุปกรณ์กระจายสัญญาณเครือข่าย ชนิด Layer ๒ Switch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อุปกรณ์รองรับการทำงานแบบ Layer ๒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Gigabit Ethernet ๑๐/๑๐๐/๑๐๐๐ Base-T หรือดีกว่า จำนวนไม่น้อยกว่า ๒๔ ช่องและ แบบ ๑๐๐๐Base-X SFP จำนวนไม่น้อยกว่า ๔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มีสัญญาณไฟแสดงสถานะของการทำงานช่องเชื่อมต่อระบบเครือข่ายทุกช่อง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 Mac Address ได้ไม่น้อยกว่า ๑๖,๐๐๐ Mac Address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สามารถบริหารจัดการอุปกรณ์ผ่านทางโปรแกรม Web Browser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 Port-based VLAN, MAC- based VLAN, VLAN mapping และ MVRP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ขนาดความจุของสวิตช์มีขนาดไม่น้อยกว่า ๕๖ Gbps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๔.๗.๒.๘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รองรับเทคโนโลยีการรักษาความปลอดภัยอย่างน้อยดังนี้ AAA authentication, RADIUS authentication, HWTACACS, SSHb.o, Port isolation,๘๐๒.๑X authentication, centralized MAC authentication, Port security, IP/Port/MAC binding, IP Source Guard และ HTTPS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อุปกรณ์กระจายสัญญาณเครือข่าย ชนิด Layer ๓ Switch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มีลักษณะการทำงานไม่น้อยกว่า Layer ๓ ของ OSI Model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สามารถค้นหาเส้นทางเครือข่ายโดยใช้โปรโตคอล (Routing Protocol) RIPv2, OSPF ได้เป็นอย่างน้อย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๑๐/๑๐๐/๑๐๐๐ Base-T หรือดีกว่า จำนวน ไม่น้อยกว่า ๒๔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มีช่องสำหรับรองรับการเชื่อมต่อระบบเครือข่าย (Network Interface) แบบ ๑/๑๐ Gbps (SFP/SFP+) พร้อม Transceiver Module จำนวน ไม่น้อยกว่า ๒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มีสัญญาณไฟแสดงสถานะของการทำงานช่องเชื่อมต่อระบบเครือข่ายทุกช่อง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 Mac Address ได้ไม่น้อยกว่า ๓๒,๐๐๐ Mac Address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สามารถบริหารจัดการอุปกรณ์ผ่านทางโปรแกรม Web Browser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สามารถส่งข้อมูล Log File ในรูปแบบ Syslog ได้เป็นอย่างน้อย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๔.๗.๓.๙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สามารถใช้งานตามมาตรฐาน IPv6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จอแสดงผลภาพ (Monitor)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จอภาพมีขนาดไม่น้อยกว่า ๘๕ นิ้ว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หน้าจอเป็นแบบ LCD หรือ VA Panel หรือ QD-OLED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มีความละเอียดภาพแบบ UHD ที่รองรับความละเอียดแสดงผลไม่น้อย กว่า ๓๘๔๐x๒๑๖๐ พิกเซล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มีอัตราส่วนความคมชัดไม่น้อยกว่า ๔,๐๐๐:๑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Refresh Rate ไม่น้อยกว่า ๖๐ Hz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Contrast Ratio ไม่น้อยกว่า ๑๖:๙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 Input เป็นชนิด HDMI และ USB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๔.๗.๔.๘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รองรับการทำงาน แบบ ๒๔/๗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ระบบรักษาความปลอดภัยระบบเครือข่าย (Next Generation Firewall)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มีอุปกรณ์รักษาความปลอดภัยเครือข่าย (Firewall) ชนิด Next Generation Firewall แบบ Appliance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Firewall Throughput ไม่น้อยกว่า ๓ Gbps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ชนิด ๑๐/๑๐๐/๑๐๐๐ Base-T หรือดีกว่า จำนวนไม่น้อยกว่า ๘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มีช่องสำหรับรองรับการเชื่อมต่อระบบเครือข่าย (Network Interface) แบบ ๑/๑๐ Gbps (SFP) จำนวนไม่น้อยกว่า ๒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มีระบบตรวจสอบและป้องกันการรุกล้ำรูปแบบต่างๆ อย่างน้อย ดังนี้ Syn Flood, UDP Flood, ICMP Flood, Port Scan, DoS or DDoS, Teardrop Attack, Land Attack, IP Fragment เป็นต้นได้เป็นอย่างน้อย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สามารถทำการกำหนด IP Address แบบ Network Address Translation (NAT) ได้ และ Port Address Translation (PAT)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สามารถทำงานลักษณะ Transparent Mode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 Routing แบบ Static, Dynamic Routing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สามารถบริหารจัดการอุปกรณ์ผ่านมาตรฐาน HTTPS หรือ SSH ได้เป็นอย่างน้อย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สามารถเก็บและส่งรายละเอียดและตรวจสอบการใช้งาน (Logging/Monitoring) ในรูปแบบ Syslog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สามารถใช้งานตามมาตรฐาน IPv6 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๔.๗.๕.๑๒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Power Supply แบบ Redundant หรือ Hot Swap จำนวน ๒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Mobile Control and Configuration with Software มีคุณสมบัติอย่างน้อยดังนี้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Mobile Control and Configuration with Software แบบที่ ๑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ไม่น้อยกว่า ๙ แกนหลัก (๙ core)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มีหน่วยประมวลประมวลผลสำหรับงานด้านกราฟฟิกโดยเฉพาะหรือ Graphic Processing Unit (GPU) ไม่น้อยกว่า ๑๐ แกนหลัก (๑๐ core)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ที่มีขนาดไม่น้อยกว่า ๑๒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มีหน่วยความจำขนาดไม่น้อยกว่า ๕๑๒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มีหน้าจอสัมผัสขนาดไม่น้อยกว่า ๑๐ นิ้ว และมีความละเอียดไม่น้อยกว่า ๒,๔๒๐x๑,๖๖๘ pixel ที่มีอัตรารีเฟรชแบบปรับได้ถึง ๑๒๐ Hz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มีเซนเซอร์ตรวจวัดแสงโดยรอบ และอุปกรณ์ตรวจจับการเคลื่อนไหว เทียบเท่าหรือดีกว่า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สามารถใช้งานได้ไม่น้อยกว่า Wifi และ Bluetooth 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มีอุปกรณ์เชื่อมต่อระบบ ๕G เทียบเท่าหรือดีกว่า แบบติดตั้งภายในตัวเครื่อง (built-in)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มีอุปกรณ์การเขียนและคีย์บอร์ดที่สามารถใช้งานร่วมกับอุปกรณ์คอมพิวเตอร์แท็ปเล็ต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มีกล้องด้านหน้าความละเอียดไม่น้อยกว่า ๑๒ MP และกล้องด้านหลังความละเอียดไม่น้อยกว่า ๑๒ MP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 (interface) แบบ USB-C ที่รองรับการเชื่อมต่อ Thunderbolt / USB4 เทียบเท่าหรือดีกว่า จำนวนไม่น้อยกว่า ๑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มีอะแดปเตอร์แปลงไฟ USB-C และสายชาร์จ USB-C ที่มาพร้อมเครื่อง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๔.๘.๑.๑๓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แบตเตอรี่ภายในชนิดลิเธียมโพลิเมอร์ เทียบเท่าหรือดีกว่า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Mobile Control and Configuration with Software แบบที่ ๒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ที่มีแกนหลักรวมกันไม่น้อยกว่า ๑๔ แกนหลัก (๑๔ core) และ แกนเสมือนรวมกันไม่น้อยกว่า ๑๖ แกนเสมือน (๑๖ Thread) และมีเทคโนโลยีเพิ่มสัญญาณนาฬิกาได้ ในกรณีที่ต้องใช้ความสามารถในการประมวลผลสูง (Turbo Boost หรือ Max Boost) โดยมีความเร็วสัญญาณนาฬิกาสูงสุดไม่น้อยกว่า ๕.๐ GHz จำนวน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มีหน่วยความจำแบบ Cache Memory รวมในระดับ (Level) เดียวกัน ขนาดไม่น้อยกว่า ๒๔ MB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มีหน่วยประมวลประมวลผลสำหรับงานด้านกราฟิกโดยเฉพาะหรือ Graphic Processing Unit (GPU) ไม่น้อยกว่า ๘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DDR๕ หรือดีกว่า ขนาดไม่น้อยกว่า ๓๒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มีหน่วยจัดเก็บข้อมูลชนิด Solid State Drive ขนาดความจุไม่น้อยกว่า ๑ TB จำนวน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มีจอภาพที่รองรับความละเอียดไม่น้อยกว่า ๑,๙๒๐ x ๑,๐๘๐ pixel และมีขนาดไม่น้อยกว่า ๑๔ นิ้ว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มีกล้องความละเอียดไม่น้อยกว่า ๑,๒๘๐ x ๗๒๐ pixel หรือ ๗๒๐p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 (Interface) แบบ USB ๒.๐ หรือดีกว่า ไม่น้อยกว่า ๓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มีช่องเชื่อมต่อแบบ HDMI หรือ Display Port จำนวนไม่น้อยกว่า ๑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๑๐/๑๐๐/๑๐๐๐ Base-T หรือดีกว่า แบบติดตั้งภายใน (Internal) หรือภายนอก (External) จำนวนไม่น้อยกว่า ๑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สามารถใช้งานได้ไม่น้อยกว่า Wi-Fi ๗ และ Bluetooth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มีแบตเตอรี่ภายในขนาดไม่น้อยกว่า ๖ เซล (๖-cell)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Carrying Case / Accessories : Manufacturer Back Pack / Optical Mouse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๔.๘.๒.๑๔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มีระบบปฏิบัติการ Windows ๑๑ หรือดีกว่า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 Edge AI Computer สำหรับอุปกรณ์ตรวจจับสำหรับพื้นที่ขนาดใหญ่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สำหรับ AI workload แบบ ๑๒ แกนหลัก (๑๒ core) มีความเร็วสัญญาณนาฬิกาพื้นฐานไม่น้อยกว่า ๒.๐ GHZ หรือดีกว่า จำนวนไม่น้อยกว่า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รองรับการประมวลผลแบบ ๖๔ bit มีหน่วยความจำ แบบ Cache Memory รวมในระดับ (Level) เดียวกันไม่น้อยกว่า ๙ MB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ชนิด DDR๕ หรือดีกว่า มีขนาดรวมกันไม่น้อยกว่า ๖๔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GPU สำหรับช่วยในการประมวลผล AI และวีดีโอ แบบ DDR๕ หรือดีกว่า โดยมี หน่วยความจำรวมกันไม่น้อยกว่า ๙๖ GB และมี INT8 performance รวมกัน ไม่น้อยกว่า ๒๗๕ TOPS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 ชนิด NVMe SSD หรือดีกว่า ขนาดความจุรวมไม่น้อยกว่า ๙๖๐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 GBE หรือดีกว่า จำนวนไม่น้อยกว่า ๒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มีระบบปฏิบัติการ Ubuntu Linux หรือ Red Hat หรือ Windows OS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๔.๙.๘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สามารถบริหารจัดการเครื่องคอมพิวเตอร์ได้จากระยะไกล (Remote Management)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อุปกรณ์ Edge AI Computer สำหรับกล้องโทรทัศน์วงจรปิดชนิดเครือข่าย แบบปรับมุมมองและไม่สามารถปรับมุมมองได้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๔.๑๐.๑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มีหน่วยประมวลผลกลาง (CPU) สำหรับ AI workload แบบ ๘ แกนหลัก (๑๒ core) มีความเร็วสัญญาณนาฬิกาพื้นฐานไม่น้อยกว่า ๒.๐ GHZ หรือดีกว่า จำนวนไม่น้อยกว่า ๑ หน่วย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๔.๑๐.๒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หน่วยประมวลผลกลาง (CPU) รองรับการประมวลผลแบบ ๖๔ bit มีหน่วยความจำแบบ Cache Memory รวมในระดับ (Level) เดียวกันไม่น้อยกว่า ๙ MB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มีหน่วยความจำหลัก (RAM) ชนิด DDR๕ หรือดีกว่า มีขนาดรวมกันไม่น้อยกว่า ๖๔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 GPU สำหรับช่วยในการประมวลผล AI และวีดีโอ แบบ DDR๕ หรือดีกว่า โดยมีหน่วยความจำรวมกันไม่น้อยกว่า ๙๖ GB และมี INT8 performance รวมกันไม่น้อยกว่า ๒๐๐ TOPS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๔.๑๐.๕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มีหน่วยจัดเก็บข้อมูล ชนิด NVMe SSD หรือดีกว่า ขนาดความจุรวมไม่น้อยกว่า ๙๖๐ GB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๔.๑๐.๖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มีช่องเชื่อมต่อระบบเครือข่าย (Network Interface) แบบ ๑๐ GbE หรือดีกว่า จำนวนไม่น้อยกว่า ๒ ช่อง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๔.๑๐.๗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มีระบบปฏิบัติการ Ubuntu Linux หรือ Red Hat หรือ Windows OS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  <w:tr w:rsidR="00E07473" w14:paraId="35FDCBAC" w14:textId="77777777">
        <w:trPr>
          <w:cantSplit/>
          <w:trHeight w:val="145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๔.๑๐.๘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 xml:space="preserve">สามารถบริหารจัดการเครื่องคอมพิวเตอร์ได้จากระยะไกล (Remote Management)</w:t>
              <w:br/>
              <w:t xml:space="preserve">เอกสารภาคผนวก ข ตารางยื่นข้อเสนอและตารางเปรียบเทียบคุณสมบัติทางเทคนิค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- ๒๗ -</w:t>
              <w:br/>
              <w:t xml:space="preserve">**เอกสาร ผนวก ข**</w:t>
              <w:br/>
              <w:t xml:space="preserve">ตารางยื่นข้อเสนอและตารางเปรียบเทียบคุณสมบัติทางเทคนิค ระบบอำนวยความสะดวกและความปลอดภัย ลานจอดอากาศยาน ท่าอากาศยานสุราษฎร์ธานี ให้ผู้ยื่นข้อเสนอจัดทำข้อมูลตามแบบฟอร์มดังนี้ เพื่อใช้เปรียบเทียบกับข้อกำหนด ในขั้นตอนการพิจารณาข้อเสนอ</w:t>
              <w:br/>
              <w:t xml:space="preserve">**๑. ตารางยื่นข้อเสนอ**</w:t>
              <w:br/>
              <w:t xml:space="preserve">ลำดับรายการตารางยื่นข้อเสนอชื่อยี่ห้อ/รุ่นจำนวนชื่อไฟล์เอกสาร/เลขเล่ม/เลขหน้า</w:t>
              <w:br/>
              <w:t xml:space="preserve">๑. | อุปกรณ์ตรวจจับสำหรับพื้นที่ขนาดใหญ่ |  |  |  |  |</w:t>
              <w:br/>
              <w:t xml:space="preserve">๒. |  | กล้องโทรทัศน์วงจรปิดชนิดเครือข่าย แบบปรับมุมมอง สำหรับติดตั้ง ภายนอกอาคาร (Pan tilt Zoom) |  |  |  |  | ชุด |</w:t>
              <w:br/>
              <w:t xml:space="preserve">๓. |  | กล้องโทรทัศน์วงจรปิดชนิดเครือข่ายความละเอียดสูง แบบไม่สามารถ ปรับมุมมองได้ ชนิด Day/Night สำหรับติดตั้งภายนอกอาคาร |  |  |  |  | ชุด |</w:t>
              <w:br/>
              <w:t xml:space="preserve">๔. |  | กล้องโทรทัศน์วงจรปิดชนิดเครือข่ายความละเอียดสูง แบบสามารถ ปรับมุมมองได้ ชนิด Day/Night สำหรับติดตั้งภายนอกอาคาร |  |  |  |  | ชุด |</w:t>
              <w:br/>
              <w:t xml:space="preserve">๕. |  | อุปกรณ์ระบุตำแหน่งผ่านดาวเทียม |  |  |  |  | ชุด |</w:t>
              <w:br/>
              <w:t xml:space="preserve">๖. |  | ระบบติดตามอากาศยาน Automatic Dependent Surveillance Broadcast (ADS-B) |  |  |  |  | ชุด |</w:t>
              <w:br/>
              <w:t xml:space="preserve">๗. |  | เครื่องคอมพิวเตอร์บริหารจัดการและประมวลผล (Work Station) |  |  |  |  | ชุด |</w:t>
              <w:br/>
              <w:t xml:space="preserve">๘. |  | เครื่องคอมพิวเตอร์แม่ข่ายแอปพลิเคชั่น (Application Server) |  |  |  |  | ชุด |</w:t>
              <w:br/>
              <w:t xml:space="preserve">๙. |  | เครื่องคอมพิวเตอร์แม่ข่ายสำหรับกราฟฟิก (Graphic Process Unit server) |  |  |  |  | ชุด |</w:t>
              <w:br/>
              <w:t xml:space="preserve">๑๐. |  | เครื่องคอมพิวเตอร์แม่ข่ายสำหรับจัดเก็บข้อมูล (Storage Server) |  |  |  |  | ชุด |</w:t>
              <w:br/>
              <w:t xml:space="preserve">เอกสารหมายเลข ข. ตารางยื่นข้อเสนอและตารางเปรียบเทียบคุณสมบัติ/คุณสมบัติทางเทคนิค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- ๒๘ -</w:t>
              <w:br/>
              <w:t xml:space="preserve">ตารางยื่นข้อเสนอ</w:t>
              <w:br/>
              <w:t xml:space="preserve">ลำดับ | รายการ | ชื่อยี่ห้อ/รุ่น | จำนวน | ชื่อไฟล์เอกสาร/เล่มเล่ม/เลขหน้า</w:t>
              <w:br/>
              <w:t xml:space="preserve">๑๑. | ตู้สำหรับจัดเก็บเครื่องคอมพิวเตอร์และอุปกรณ์ |  |  | ตู้ |</w:t>
              <w:br/>
              <w:t xml:space="preserve">๑๒. | เครื่องสำรองไฟฟ้าขนาด ๑๐ kVA |  |  | ชุด |</w:t>
              <w:br/>
              <w:t xml:space="preserve">๑๓. | จอแสดงผลภาพ (Monitor) |  |  | ชุด |</w:t>
              <w:br/>
              <w:t xml:space="preserve">๑๔. | ระบบรักษาความปลอดภัยระบบเครือข่าย (Next Generation Firewall) |  |  | ระบบ |</w:t>
              <w:br/>
              <w:t xml:space="preserve">๑๕. | ซอฟต์แวร์บริหารจัดการระบบอำนวยความสะดวกและความปลอดภัย ลานจอดอากาศยาน |  |  | ระบบ |</w:t>
              <w:br/>
              <w:t xml:space="preserve">๑๖. | ซอฟต์แวร์ระบบแจ้งเตือนการบุกรุกบนผิวทางวิ่ง (Runway Intrusion) |  |  | ระบบ |</w:t>
              <w:br/>
              <w:t xml:space="preserve">๑๗. | ระบบสำรองทดแทนระบบหลักในกรณีที่ระบบหลักทำงานผิดพลาด (Redundant) |  |  | ระบบ |</w:t>
              <w:br/>
              <w:t xml:space="preserve">๑๘. | อุปกรณ์กระจายสัญญาณเครือข่าย ชนิด Layer ๒ Switch |  |  | ชุด |</w:t>
              <w:br/>
              <w:t xml:space="preserve">๑๙. | อุปกรณ์กระจายสัญญาณเครือข่าย ชนิด Layer ๓ Switch |  |  | ชุด |</w:t>
              <w:br/>
              <w:t xml:space="preserve">๒๐. | อุปกรณ์กระจายสัญญาณ (Industrial Grade) สำหรับใช้งานภาคสนาม |  |  | ชุด |</w:t>
              <w:br/>
              <w:t xml:space="preserve">๒๑. | Mobile Control and Configuration with Software |  |  | ชุด |</w:t>
              <w:br/>
              <w:t xml:space="preserve">๒๒. | อุปกรณ์ Edge AI Computer สำหรับอุปกรณ์ตรวจจับสำหรับพื้นที่ขนาดใหญ่ |  |  | ชุด |</w:t>
              <w:br/>
              <w:t xml:space="preserve">๒๓. | อุปกรณ์ Edge AI Computer สำหรับกล้องโทรทัศน์วงจรปิดชนิดเครือข่าย แบบปรับมุมมองและไม่สามารถปรับมุมมองได้ |  |  | ชุด |</w:t>
              <w:br/>
              <w:t xml:space="preserve">๒๔. | ระยะเวลาในการรับประกันความชำรุดบกพร่อง |  |  | ปี |</w:t>
              <w:br/>
              <w:t xml:space="preserve">*กรณีข้อมูลที่เสนอไม่ชัดเจน ราชการจะพิจารณาคุณสมบัติตามรุ่นอุปกรณ์ที่เสนอในตารางนี้เป็นหลัก</w:t>
              <w:br/>
              <w:t xml:space="preserve">เอกสารภาคผนวก ข.ตารางยื่นข้อเสนอและตารางเปรียบเทียบคุณสมบัติทางเทคนิค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๒.ตารางเปรียบเทียบคุณสมบัติทางเทคนิค</w:t>
              <w:br/>
              <w:t xml:space="preserve">* พิจารณาคุณสมบัติจากทางเอกสารผู้ผลิต (แคตตาล็อก Datasheet หรือหนังสือรับรองจากผู้ผลิต) เท่านั้น</w:t>
              <w:br/>
              <w:t xml:space="preserve">ตารางเปรียบเทียบคุณสมบัติทางเทคนิค</w:t>
              <w:br/>
              <w:t xml:space="preserve">ลำดับคุณสมบัติทางเทคนิคตาม TORข้อเสนอชื่อไฟล์เอกสาร/เลขเล่ม/เลขหน้า</w:t>
              <w:br/>
              <w:t xml:space="preserve">คุณสมบัติทางเทคนิคของ ผู้ยื่นข้อเสนอ | ตรง ข้อกำหนด | ดีกว่า ข้อกำหนด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|  |  |  |  |</w:t>
              <w:br/>
              <w:t xml:space="preserve">เอกสารภาคผนวก ข.ตารางยื่นข้อเสนอและตารางเรียนเทียบคุณสมบัติทางเทคนิค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- ๓๐ -</w:t>
              <w:br/>
              <w:t xml:space="preserve">ลำดับรายการตัวอย่างตารางยื่นข้อเสนอจำนวนชื่อไฟล์เอกสาร/เลขเล่ม/เลขหน้า</w:t>
              <w:br/>
              <w:t xml:space="preserve">ชื่อยี่ห้อ/รุ่น | จำนวน</w:t>
              <w:br/>
              <w:t xml:space="preserve">๑. | อุปกรณ์ตรวจจับสำหรับพื้นที่ขนาดใหญ่ | ยี่ห้อ ABC รุ่น A-๑๑๑ | ๒ ชุด |  | เล่มที่ ๒ หน้า ๑ - ๒๐</w:t>
              <w:br/>
              <w:t xml:space="preserve">๒. | กล้องโทรทัศน์วงจรปิดชนิดเครือข่าย แบบปรับมุมมอง สำหรับติดตั้ง ภายนอกอาคาร (Pan tilt Zoom) | ยี่ห้อ ABC รุ่น A-๒๒๒ | ๗ ชุด |  | เล่มที่ ๒ หน้า ๓๑ - ๕๐</w:t>
              <w:br/>
              <w:t xml:space="preserve">๓. | กล้องโทรทัศน์วงจรปิดชนิดเครือข่ายความละเอียดสูง แบบไม่สามารถ ปรับมุมมองได้ ชนิด Day/Night สำหรับติดตั้งภายนอกอาคาร | ยี่ห้อ ABC รุ่น A-๓๓๓ | ๖๒ ชุด |  | เล่มที่ ๒ หน้า ๕๑ - ๗๐</w:t>
              <w:br/>
              <w:t xml:space="preserve">๔. | กล้องโทรทัศน์วงจรปิดชนิดเครือข่ายความละเอียดสูง แบบสามารถ ปรับมุมมองได้ ชนิด Day/Night สำหรับติดตั้งภายนอกอาคาร | ยี่ห้อ ABC รุ่น A-๔๔๔ | ๑๓ ชุด |  | เล่มที่ ๒ หน้า ๗๑ - ๘๐</w:t>
              <w:br/>
              <w:t xml:space="preserve">๕. | อุปกรณ์ระบุตำแหน่งผ่านดาวเทียม | ยี่ห้อ ABC รุ่น A-๕๕๕ | ๔๐ ชุด |  | เล่มที่ ๒ หน้า ๘๑ - ๑๐๐</w:t>
              <w:br/>
              <w:t xml:space="preserve">๖. | ระบบติดตามอากาศยาน Automatic Dependent Surveillance Broadcast (ADS-B) | ยี่ห้อ ABC รุ่น A-๖๖๖ | ๑ ชุด |  | เล่มที่ ๒ หน้า ๑๐๑ - ๑๕๐</w:t>
              <w:br/>
              <w:t xml:space="preserve">๗. | เครื่องคอมพิวเตอร์บริหารจัดการและประมวลผล (Work Station) | ยี่ห้อ ABC รุ่น A-๗๗๗ | ๓ ชุด |  | เล่มที่ ๒ หน้า ๑๕๑ - ๑๘๐</w:t>
              <w:br/>
              <w:t xml:space="preserve">๘. | เครื่องคอมพิวเตอร์แม่ข่ายแอปพลิเคชั่น (Application Server) | ยี่ห้อ ABC รุ่น A-๘๘๘ | ๒ ชุด |  | เล่มที่ ๒ หน้า ๑๘๑ - ๒๐๐</w:t>
              <w:br/>
              <w:t xml:space="preserve">๙. | เครื่องคอมพิวเตอร์แม่ข่ายสำหรับกราฟิก (Graphic Process Unit server) | ยี่ห้อ ABC รุ่น A-BBB | ๔ ชุด |  | เล่มที่ ๒ หน้า ๑๘๑ - aaa</w:t>
              <w:br/>
              <w:t xml:space="preserve">๑๐. | เครื่องคอมพิวเตอร์แม่ข่ายสำหรับจัดเก็บข้อมูล (Storage Server) | ยี่ห้อ ABC รุ่น A-CCC | ๒ ชุด |  | เล่มที่ ๒ หน้า ๑xx - bbb</w:t>
              <w:br/>
              <w:t xml:space="preserve">๑๑. | ตู้สำหรับจับเก็บเครื่องคอมพิวเตอร์และอุปกรณ์ | ยี่ห้อ ABC รุ่น A-DDD | ๑ ตู้ |  | เล่มที่ ๒ หน้า ๑๙ - cc</w:t>
              <w:br/>
              <w:t xml:space="preserve">๑๒. | เครื่องสำรองไฟฟ้าขนาด ๑๐ kVA | ยี่ห้อ ABC รุ่น A-EEE | ๑ ชุด |  | เล่มที่ ๒ หน้า ๑xx - ddd</w:t>
              <w:br/>
              <w:t xml:space="preserve">*กรณีข้อมูลที่เสนอไม่ชัดเจน ราชการจะพิจารณาคุณสมบัติตามรุ่นอุปกรณ์ที่เสนอในตารางนี้เป็นหลัก</w:t>
              <w:br/>
              <w:t xml:space="preserve">(นายกฤษณ์รัฐ โพธิ์เสริมใจ)</w:t>
              <w:br/>
              <w:t xml:space="preserve">๑๔ ก.ย. 2568</w:t>
              <w:br/>
              <w:t xml:space="preserve">เอกสารภาคผนวก ข ตารางยื่นข้อเสนอและตารางเปรียบเทียบคุณสมบัติ/คุณสมบัติทางเทคนิค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- ๓๑ -</w:t>
              <w:br/>
              <w:t xml:space="preserve">ลำดับรายการตัวอย่างตารางยื่นข้อเสนอจำนวนชื่อไฟล์เอกสาร/เลขเล่ม/เลขหน้า</w:t>
              <w:br/>
              <w:t xml:space="preserve">ชื่อยี่ห้อ/รุ่น | ยี่ห้อ ABC รุ่น A-BBB | ยี่ห้อ ABC รุ่น A-CCC | ยี่ห้อ ABC รุ่น A-DDD | ยี่ห้อ ABC รุ่น A-EEE | ยี่ห้อ ABC รุ่น A-BBB | ยี่ห้อ ABC รุ่น A-CCC | ยี่ห้อ ABC รุ่น A-DDD | ยี่ห้อ ABC รุ่น A-FEE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 ยี่ห้อ ABC รุ่น A-EEE |</w:t>
              <w:br/>
              <w:t xml:space="preserve">เอกสารภาคผนวก ข.ตารางยื่นข้อเสนอและตารางเปรียบเทียบคุณสมบัติ/คุณสมบัติทางเทคนิค ระบบอำนวยความสะดวกและความปลอดภัย ลานจอดอากาศยาน ท่าอากาศยานสุราษฎร์ธานี</w:t>
              <w:br/>
              <w:t xml:space="preserve">๑๔ ก.ย. ๒๕๖๙</w:t>
              <w:br/>
              <w:t xml:space="preserve">- ๓๒ -</w:t>
              <w:br/>
              <w:t xml:space="preserve">ตัวอย่างตารางเปรียบเทียบคุณสมบัติทางเทคนิค</w:t>
              <w:br/>
              <w:t xml:space="preserve">ลำดับคุณสมบัติทางเทคนิคข้อเสนอชื่อไฟล์เอกสาร/เลขเล่ม/เลขหน้า</w:t>
              <w:br/>
              <w:t xml:space="preserve">คุณสมบัติ | ตรง ข้อกำหนด | ดีกว่า ข้อกำหนด</w:t>
              <w:br/>
              <w:t xml:space="preserve">๑. | อุปกรณ์ตรวจจับสำหรับพื้นที่ขนาดใหญ่ |  |  |  |</w:t>
              <w:br/>
              <w:t xml:space="preserve">๑.๑ | ความละเอียดของภาพ (Resolution) ที่ ๗๐ ล้านพิกเซล (Pixel) หรือดีกว่า | ความละเอียดของภาพ (Resolution) ที่ ๑๐๕ ล้าน พิกเซล (Pixel) | ✓ |  | เล่มที่ ๒ (Catalog.pdf) หน้าที่ ๑,๖</w:t>
              <w:br/>
              <w:t xml:space="preserve">๑.๒ | เซนเซอร์ตัวตรวจจับภาพ (Image Sensor) แบบ CMOS ที่มีขนาด ๑/๑.๘ นิ้ว หรือไม่น้อยกว่า ๘ ล้านพิกเซล (Pixel) หรือดีกว่า | เซนเซอร์ตัวตรวจจับภาพ (Image Sensor) แบบ CMOS ที่มีขนาด ๑/๑.๘ นิ้ว ๑๐ ล้านพิกเซล (Pixel) | ✓ |  | เล่มที่ ๒ (Catalog.pdf) หน้าที่ ๑๕ ถึง ๒๐</w:t>
              <w:br/>
              <w:t xml:space="preserve">๑.๓ | ความไวแสง (Illumination) ไม่เกิน ๐.๐๑ lux สำหรับ การแสดงภาพสี (Color) และไม่เกิน ๐.๐๕ lux สำหรับ การแสดงภาพขาวดำ (Black/White) | ความไวแสง (Illumination) ไม่เกิน ๐.๐๑ lux สำหรับ การแสดงภาพสี (Color) และ ไม่เกิน ๐.๐๕ lux สำหรับ การแสดงภาพขาวดำ (Black/White) | ✓ |  | เล่มที่ ๒ (Catalog.pdf) หน้าที่ ๒๓ ถึง ๒๔</w:t>
              <w:br/>
              <w:t xml:space="preserve">๑.๔ | รองรับการใช้งานผ่านระบบเครือข่าย IPV๔ และ IPV๖ | ใช้งานผ่านระบบเครือข่าย IPV๔ และ IPV๖ | ✓ |  | เล่มที่ ๒ (Catalog.pdf) หน้าที่ ๒๖</w:t>
              <w:br/>
              <w:t xml:space="preserve">เอกสารภาคผนวก ค. (เกณฑ์การพิจารณาข้อเสนอโครงการ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เอกสาร ผนวก ค.</w:t>
              <w:br/>
              <w:t xml:space="preserve">เกณฑ์การพิจารณาข้อเสนอเกณฑ์อื่นๆ โครงการระบบอำนวยความสะดวกและความปลอดภัย ลานจอดอากาศยาน ท่าอากาศยานสุราษฎร์ธานี แบ่งน้ำหนักดังนี้</w:t>
              <w:br/>
              <w:t xml:space="preserve">ข้อเสนอเกณฑ์อื่นๆ น้ำหนักร้อยละ ๗๐ ประกอบด้วย</w:t>
              <w:br/>
              <w:t xml:space="preserve">๑. ข้อเสนอด้านเทคนิค น้ำหนักร้อยละ ๔๐</w:t>
              <w:br/>
              <w:t xml:space="preserve">๒. ข้อเสนอด้านคุณภาพ น้ำหนักร้อยละ ๓๐</w:t>
              <w:br/>
              <w:t xml:space="preserve">๑. ข้อเสนอด้านเทคนิค (โครงการระบบอำนวยความสะดวกและความปลอดภัย ลานจอดอากาศยาน ท่าอากาศยานสุราษฎร์ธานี) (น้ำหนักร้อยละ ๔๐) ประกอบด้วย</w:t>
              <w:br/>
              <w:t xml:space="preserve">(๑) อุปกรณ์ตรวจจับสำหรับพื้นที่ขนาดใหญ่ น้ำหนักร้อยละ ๒๐</w:t>
              <w:br/>
              <w:t xml:space="preserve">(๑.๑) ความละเอียดของภาพ (Resolution) ร้อยละ ๘</w:t>
              <w:br/>
              <w:t xml:space="preserve">(๑.๒) ความสามารถในการจำแนกอากาศยาน ร้อยละ ๖</w:t>
              <w:br/>
              <w:t xml:space="preserve">(๑.๓) ความสามารถในการจำแนกยานพาหนะ ร้อยละ ๖</w:t>
              <w:br/>
              <w:t xml:space="preserve">(๒) ระบบแจ้งเตือนการรุกล้ำทางวิ่งและระบบติดตามอากาศยาน น้ำหนักร้อยละ ๒๐</w:t>
              <w:br/>
              <w:t xml:space="preserve">(๒.๑) ค่าความแม่นยำในการระบุตำแหน่ง ร้อยละ ๕</w:t>
              <w:br/>
              <w:t xml:space="preserve">(๒.๒) ความสามารถแสดงผลตำแหน่งอากาศยาน ร้อยละ ๕</w:t>
              <w:br/>
              <w:t xml:space="preserve">(๒.๓) ความสามารถในการระบุตำแหน่งครั้งแรก ร้อยละ ๕</w:t>
              <w:br/>
              <w:t xml:space="preserve">(๒.๔) ความสามารถของเครื่องรับสัญญาณ ร้อยละ ๕</w:t>
              <w:br/>
              <w:t xml:space="preserve">(๑) อุปกรณ์ตรวจจับสำหรับพื้นที่ขนาดใหญ่ ให้น้ำหนักร้อยละ ๒๐</w:t>
              <w:br/>
              <w:t xml:space="preserve">(๑.๑) ความละเอียดของภาพ (Resolution) ให้น้ำหนักร้อยละ ๘ โดยมีค่าอ้างอิงในการให้ คะแนน ดังนี้</w:t>
              <w:br/>
              <w:t xml:space="preserve">ความสามารถ | คะแนนเต็ม | คะแนนที่ได้</w:t>
              <w:br/>
              <w:t xml:space="preserve">ความละเอียดของภาพ (Resolution) ระหว่าง ๗๐ - ๘๐ MP | ๗๐ |</w:t>
              <w:br/>
              <w:t xml:space="preserve">ความละเอียดของภาพ (Resolution) ระหว่าง ๘๑ - ๙๐ MP | ๘๐ |</w:t>
              <w:br/>
              <w:t xml:space="preserve">ความละเอียดของภาพ (Resolution) ระหว่าง ๙๑ - ๑๐๕ MP | ๙๐ |</w:t>
              <w:br/>
              <w:t xml:space="preserve">ความละเอียดของภาพ (Resolution) มากกว่า ๑๐๕ MP ขึ้นไป | ๑๐๐ |</w:t>
              <w:br/>
              <w:t xml:space="preserve">(๑.๒) ความสามารถในการจำแนกอากาศยาน ให้น้ำหนักร้อยละ ๖ โดยมีค่าอ้างอิงในการให้ คะแนน ดังนี้</w:t>
              <w:br/>
              <w:t xml:space="preserve">ความสามารถ | คะแนนเต็ม | คะแนนที่ได้</w:t>
              <w:br/>
              <w:t xml:space="preserve">สามารถมองเห็นได้ที่ตั้งแต่ระยะ ๑,๐๐๐ เมตรขึ้นไป | ๗๐ |</w:t>
              <w:br/>
              <w:t xml:space="preserve">สามารถมองเห็นได้ที่ระยะ ๑,๐๐๑ - ๑,๙๙๙ เมตร | ๘๕ |</w:t>
              <w:br/>
              <w:t xml:space="preserve">สามารถมองเห็นได้ที่ตั้งแต่ระยะ ๒,๐๐๐ เมตรขึ้นไป | ๑๐๐ |</w:t>
              <w:br/>
              <w:t xml:space="preserve">เอกสารภาคผนวก ค.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(๑.๓) ความสามารถในการจำแนกยานพาหนะ ให้น้ำหนักร้อยละ ๖ โดยมีค่าอ้างอิงในการให้คะแนน ดังนี้</w:t>
              <w:br/>
              <w:t xml:space="preserve">ความสามารถ | คะแนนเต็ม | คะแนนที่ได้</w:t>
              <w:br/>
              <w:t xml:space="preserve">สามารถมองเห็นได้ที่ระยะ ๕๐๐ เมตร | ๗๐ |</w:t>
              <w:br/>
              <w:t xml:space="preserve">สามารถมองเห็นได้ที่ระยะ ๕๐๑ - ๙๙๙ เมตร | ๘๕ |</w:t>
              <w:br/>
              <w:t xml:space="preserve">สามารถมองเห็นได้ที่ระยะ ๑,๐๐๐ เมตร | ๑๐๐ |</w:t>
              <w:br/>
              <w:t xml:space="preserve">วิธีการประเมินหรือการให้คะแนน พิจารณาจากการให้คะแนนจากเอกสารที่ผู้ยื่นข้อเสนอยื่นมา</w:t>
              <w:br/>
              <w:t xml:space="preserve">(๒) ระบบแจ้งเตือนการรุกล้ำทางวิ่งและระบบติดตามอากาศยาน น้ำหนักร้อยละ ๒๐</w:t>
              <w:br/>
              <w:t xml:space="preserve">(๒.๑) ค่าความแม่นยำในการระบุตำแหน่ง ให้น้ำหนักร้อยละ ๕ โดยมีค่าอ้างอิงในการให้คะแนน ดังนี้</w:t>
              <w:br/>
              <w:t xml:space="preserve">ความสามารถ | คะแนนเต็ม | คะแนนที่ได้</w:t>
              <w:br/>
              <w:t xml:space="preserve">ค่าความแม่นยำด้านเวลา (Time Accuracy) มีความคลาดเคลื่อนระหว่าง ๓๐ ถึง ๒๑ นาโนวินาที (๓๐-๒๑ ns) ภายใน ๑ PPS (One Pulse Per Second) | ๗๐ |</w:t>
              <w:br/>
              <w:t xml:space="preserve">ค่าความแม่นยำด้านเวลา (Time Accuracy) มีความคลาดเคลื่อนระหว่าง ๒๐ ถึง ๑๑ นาโนวินาที (๒๐-๑๑ ns) ภายใน ๑ PPS (One Pulse Per Second) | ๘๕ |</w:t>
              <w:br/>
              <w:t xml:space="preserve">ค่าความแม่นยำด้านเวลา (Time Accuracy) มีความคลาดเคลื่อนไม่เกิน ๑๐ นาโนวินาที (๑๐ ns) ภายใน ๑ PPS (One Pulse Per Second) | ๑๐๐ |</w:t>
              <w:br/>
              <w:t xml:space="preserve">(๒.๒) ความสามารถแสดงผลตำแหน่งอากาศยาน ให้น้ำหนักร้อยละ ๕ โดยมีค่าอ้างอิงในการให้คะแนน ดังนี้</w:t>
              <w:br/>
              <w:t xml:space="preserve">ความสามารถ | คะแนนเต็ม | คะแนนที่ได้</w:t>
              <w:br/>
              <w:t xml:space="preserve">สามารถแสดงผลตำแหน่งอากาศยานอยู่ระหว่าง ๑๐๐ ถึง ๒๓๐ nm (nautical miles) | ๗๐ |</w:t>
              <w:br/>
              <w:t xml:space="preserve">สามารถแสดงผลตำแหน่งอากาศยานอยู่ระหว่าง ๒๓๑ ถึง ๓๖๐ nm (nautical miles) | ๘๕ |</w:t>
              <w:br/>
              <w:t xml:space="preserve">สามารถแสดงผลตำแหน่งอากาศยานตั้งแต่ ๓๖๑ nm (nautical miles) ขึ้นไป | ๑๐๐ |</w:t>
              <w:br/>
              <w:t xml:space="preserve">๑.)  ประธานกรรมการ ๒.)  กรรมการ ๓.)  กรรมการ</w:t>
              <w:br/>
              <w:t xml:space="preserve">(นายเกณฑ์เจียร เข็มพงศ์แสงเลิศใจ) (นางสาวชุติพร โสตถิวงค์) (นายเฉิดรพัทธ์ กษีดี)</w:t>
              <w:br/>
              <w:t xml:space="preserve">เอกสารภาคผนวก ค.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(๒.๓) ความสามารถในการระบุตำแหน่งครั้งแรก ให้น้ำหนักร้อยละ ๕ โดยมีค่าอ้างอิงในการให้คะแนน ดังนี้</w:t>
              <w:br/>
              <w:t xml:space="preserve">ความสามารถ | คะแนนเต็ม | คะแนนที่ได้</w:t>
              <w:br/>
              <w:t xml:space="preserve">ชนิด Hot Start (ครั้งถัดไป)ระหว่าง ๑๐ ถึง ๑๕ วินาที | ๗๐ |</w:t>
              <w:br/>
              <w:t xml:space="preserve">ชนิด Hot Start (ครั้งถัดไป)ระหว่าง ๕ ถึง ๙ วินาที | ๘๕ |</w:t>
              <w:br/>
              <w:t xml:space="preserve">ชนิด Hot Start (ครั้งถัดไป)ต่ำกว่า ๕ วินาที | ๑๐๐ |</w:t>
              <w:br/>
              <w:t xml:space="preserve">(๒.๔) ความสามารถในการรองรับสัญญาณ ให้น้ำหนักร้อยละ ๕ โดยมีค่าอ้างอิงในการให้คะแนน ดังนี้</w:t>
              <w:br/>
              <w:t xml:space="preserve">ความสามารถ | คะแนนเต็ม | คะแนนที่ได้</w:t>
              <w:br/>
              <w:t xml:space="preserve">สามารถรองรับความถี่รูปแบบสัญญาณ ๑ ชนิดสัญญาณ | ๗๐ |</w:t>
              <w:br/>
              <w:t xml:space="preserve">สามารถรองรับความถี่รูปแบบสัญญาณ ๒ ถึง ๓ ชนิดสัญญาณ | ๘๕ |</w:t>
              <w:br/>
              <w:t xml:space="preserve">สามารถรองรับความถี่รูปแบบสัญญาณตั้งแต่ ๔ ชนิดสัญญาณขึ้นไป | ๑๐๐ |</w:t>
              <w:br/>
              <w:t xml:space="preserve">**วิธีการประเมินหรือการให้คะแนน พิจารณาจากการให้คะแนนจากเอกสารที่ผู้ยื่นข้อเสนอยื่นมา**</w:t>
              <w:br/>
              <w:t xml:space="preserve">๒. ข้อเสนอด้านคุณภาพ (โครงการระบบอำนวยความสะดวกและความปลอดภัย ลานจอดอากาศยาน ท่าอากาศยานสุราษฎร์ธานี) (น้ำหนักร้อยละ ๓๐) ประกอบด้วย</w:t>
              <w:br/>
              <w:t xml:space="preserve">(๒.๑) ผลงานของผู้ผลิตหรือผู้ใช้งานรับรอง ร้อยละ ๑๐</w:t>
              <w:br/>
              <w:t xml:space="preserve">(๒.๒) บุคลากรของผู้ยื่นข้อเสนอ ร้อยละ ๕</w:t>
              <w:br/>
              <w:t xml:space="preserve">(๒.๓) รายละเอียดโครงการและแผนการทำงานโครงการ ร้อยละ ๑๐</w:t>
              <w:br/>
              <w:t xml:space="preserve">(๒.๔) ระยะเวลารับประกันของผลิตภัณฑ์ ร้อยละ ๕</w:t>
              <w:br/>
              <w:t xml:space="preserve">(๒.๑) ผลงานของผู้ผลิตหรือผู้ใช้งานรับรอง ให้น้ำหนักร้อยละ ๑๐ โดยพิจารณาคะแนนจากเอกสารผู้ยื่นข้อเสนอ ดังนี้</w:t>
              <w:br/>
              <w:t xml:space="preserve">เงื่อนไข | คะแนนเต็ม | คะแนนที่ได้</w:t>
              <w:br/>
              <w:t xml:space="preserve">ผู้ยื่นข้อเสนอ มีผลงานระบบอำนวยความสะดวกและความปลอดภัย ลานจอดอากาศยานสนามบินในประเทศหรือต่างประเทศจากผู้ผลิต หรือผู้ใช้งานรับรอง ข้อ ๓.๑๓ (๓) จำนวน ๑ แห่ง | ๗๐ |</w:t>
              <w:br/>
              <w:t xml:space="preserve">ผู้ยื่นข้อเสนอ มีผลงานระบบอำนวยความสะดวกและความปลอดภัย ลานจอดอากาศยานสนามบินในประเทศหรือต่างประเทศจากผู้ผลิต หรือผู้ใช้งานรับรอง ข้อ ๓.๑๓ (๓) จำนวน ๒ แห่ง | ๘๕ |</w:t>
              <w:br/>
              <w:t xml:space="preserve">ผู้ยื่นข้อเสนอ มีผลงานระบบอำนวยความสะดวกและความปลอดภัย ลานจอดอากาศยานสนามบินในประเทศหรือต่างประเทศจากผู้ผลิต หรือผู้ใช้งานรับรอง ข้อ ๓.๑๓ (๓) จำนวน ๒ แห่ง ขึ้นไป | ๑๐๐ |</w:t>
              <w:br/>
              <w:t xml:space="preserve">**วิธีการประเมินหรือการให้คะแนน พิจารณาจากการให้คะแนนจากเอกสารที่ผู้ยื่นข้อเสนอยื่นมา**</w:t>
              <w:br/>
              <w:t xml:space="preserve">๑.)  (ลายเซ็น)  ประธานกรรมการ ๒.)  (ลายเซ็น)  กรรมการ ๓.)  (ลายเซ็น)  กรรมการ</w:t>
              <w:br/>
              <w:t xml:space="preserve">(นายกฤกษณกเร็ศ เพชร์เสงเเล) (นางสาวรุจเกรกโสดกิลดง) (นายฉัตรพัทธ์ กงเค็ด)</w:t>
              <w:br/>
              <w:t xml:space="preserve">เอกสารภาคผนวก ค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(๒.๒) บุคลากรของผู้ยื่นข้อเสนอ ให้น้ำหนักร้อยละ ๕ โดยพิจารณาคะแนน จากเอกสาร ผู้ยื่นข้อเสนอ ดังนี้</w:t>
              <w:br/>
              <w:t xml:space="preserve">(๒.๒.๑) ผู้จัดการโครงการ ร้อยละ ๓</w:t>
              <w:br/>
              <w:t xml:space="preserve">(๒.๒.๒) วิศวกรคอมพิวเตอร์ ร้อยละ ๒</w:t>
              <w:br/>
              <w:t xml:space="preserve">(๒.๒.๑) ผู้จัดการโครงการ ให้น้ำหนักร้อยละ ๓ โดยพิจารณาคะแนน จากเอกสารผู้ยื่นข้อเสนอ ดังนี้</w:t>
              <w:br/>
              <w:t xml:space="preserve">(๒.๒.๑.๑) วุฒิการศึกษา ให้น้ำหนักร้อยละ ๑</w:t>
              <w:br/>
              <w:t xml:space="preserve">เงื่อนไข | คะแนนเต็ม | คะแนนที่ได้</w:t>
              <w:br/>
              <w:t xml:space="preserve">ผู้ยื่นข้อเสนอมีบุคลากรที่มีวุฒิการศึกษา วิศวกรรมศาสตร์บัณฑิต (วศ.บ.) สาขาวิศวกรรมไฟฟ้า ปริญญาตรี | ๗๐ |</w:t>
              <w:br/>
              <w:t xml:space="preserve">ผู้ยื่นข้อเสนอมีบุคลากรที่มีวุฒิการศึกษาวิศวกรรมศาสตร์มหาบัณฑิต (วศ.ม.) สาขาวิศวกรรมไฟฟ้า ปริญญาโท | ๘๕ |</w:t>
              <w:br/>
              <w:t xml:space="preserve">ผู้ยื่นข้อเสนอมีบุคลากรที่มีวุฒิการศึกษาวิศวกรรมศาสตร์ดุษฎีบัณฑิต (วศ.ด.) สาขาวิศวกรรมไฟฟ้า ปริญญาเอก | ๑๐๐ |</w:t>
              <w:br/>
              <w:t xml:space="preserve">(๒.๒.๑.๒) ประสบการณ์ทำงาน ให้น้ำหนักร้อยละ ๑</w:t>
              <w:br/>
              <w:t xml:space="preserve">เงื่อนไข | คะแนนเต็ม | คะแนนที่ได้</w:t>
              <w:br/>
              <w:t xml:space="preserve">ผู้ยื่นข้อเสนอมีบุคลากรที่มีประสบการณ์ทำงานไม่ถึง ๓ ปี | ๗๐ |</w:t>
              <w:br/>
              <w:t xml:space="preserve">ผู้ยื่นข้อเสนอมีบุคลากรที่มีประสบการณ์ทำงานอยู่ในระหว่าง ๓-๕ ปี | ๘๕ |</w:t>
              <w:br/>
              <w:t xml:space="preserve">ผู้ยื่นข้อเสนอมีบุคลากรที่มีประสบการณ์ทำงาน ๖ ปีขึ้นไป | ๑๐๐ |</w:t>
              <w:br/>
              <w:t xml:space="preserve">(๒.๒.๑.๓) ใบรับรอง ให้น้ำหนักร้อยละ ๑</w:t>
              <w:br/>
              <w:t xml:space="preserve">เงื่อนไข | คะแนนเต็ม | คะแนนที่ได้</w:t>
              <w:br/>
              <w:t xml:space="preserve">ผู้ยื่นข้อเสนอมีบุคลากรที่ได้ใบอนุญาตเป็นผู้ประกอบวิชาชีพวิศวกรรมควบคุม ระดับ ภาควิศวกร | ๗๐ |</w:t>
              <w:br/>
              <w:t xml:space="preserve">ผู้ยื่นข้อเสนอมีบุคลากรที่ได้ใบอนุญาตเป็นผู้ประกอบวิชาชีพวิศวกรรมควบคุม ระดับ สามัญวิศวกร | ๘๕ |</w:t>
              <w:br/>
              <w:t xml:space="preserve">ผู้ยื่นข้อเสนอมีบุคลากรที่ได้ใบอนุญาตเป็นผู้ประกอบวิชาชีพวิศวกรรมควบคุม ระดับ วุฒิวิศวกร | ๑๐๐ |</w:t>
              <w:br/>
              <w:t xml:space="preserve">๑.)  ประธานกรรมการ ๒.)  กรรมการ ๓.)  กรรมการ</w:t>
              <w:br/>
              <w:t xml:space="preserve">(นายกฤกษณกรรัตน์ เซมาลี)</w:t>
              <w:br/>
              <w:t xml:space="preserve">(นางสาวธนภรณ์ โสตกิลดง)</w:t>
              <w:br/>
              <w:t xml:space="preserve">(นายฉัตรพันธ์ เกื้อเด)</w:t>
              <w:br/>
              <w:t xml:space="preserve">เอกสารภาคผนวก ค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(๒.๒.๒) วิศวกรคอมพิวเตอร์ ให้น้ำหนักร้อยละ ๒ โดยพิจารณาคะแนน จากเอกสารผู้ยื่นข้อเสนอ ดังนี้</w:t>
              <w:br/>
              <w:t xml:space="preserve">(๒.๒.๒.๑) วุฒิการศึกษา ให้น้ำหนักร้อยละ ๑</w:t>
              <w:br/>
              <w:t xml:space="preserve">เงื่อนไข | คะแนนเต็ม | คะแนนที่ได้</w:t>
              <w:br/>
              <w:t xml:space="preserve">ผู้ยื่นข้อเสนอมีบุคลากรที่มีวุฒิการศึกษา วิศวกรรมศาสตร์บัณฑิต (วศ.บ.) สาขาวิศวกรรมคอมพิวเตอร์ ระดับปริญญาตรี | ๗๐ |</w:t>
              <w:br/>
              <w:t xml:space="preserve">ผู้ยื่นข้อเสนอมีบุคลากรที่มีวุฒิการศึกษาวิศวกรรมศาสตร์มหาบัณฑิต (วศ.ม.) สาขาวิศวกรรมคอมพิวเตอร์ ระดับปริญญาโท | ๘๕ |</w:t>
              <w:br/>
              <w:t xml:space="preserve">ผู้ยื่นข้อเสนอมีบุคลากรที่มีวุฒิการศึกษาวิศวกรรมศาสตร์ดุษฎีบัณฑิต (วศ.ด.) สาขาวิศวกรรมคอมพิวเตอร์ ระดับปริญญาเอก | ๑๐๐ |</w:t>
              <w:br/>
              <w:t xml:space="preserve">(๒.๒.๒.๒) ประสบการณ์ทำงาน ให้น้ำหนักร้อยละ ๑</w:t>
              <w:br/>
              <w:t xml:space="preserve">เงื่อนไข | คะแนนเต็ม | คะแนนที่ได้</w:t>
              <w:br/>
              <w:t xml:space="preserve">ผู้ยื่นข้อเสนอมีบุคลากรที่มีประสบการณ์ทำงานไม่ถึง ๒ ปี | ๗๐ |</w:t>
              <w:br/>
              <w:t xml:space="preserve">ผู้ยื่นข้อเสนอมีบุคลากรที่มีประสบการณ์ทำงานอยู่ในระหว่าง ๒-๓ ปี | ๘๕ |</w:t>
              <w:br/>
              <w:t xml:space="preserve">ผู้ยื่นข้อเสนอมีบุคลากรที่มีประสบการณ์ทำงาน ๔ ปีขึ้นไป | ๑๐๐ |</w:t>
              <w:br/>
              <w:t xml:space="preserve">**วิธีการประเมินหรือการให้คะแนน** พิจารณาจากการให้คะแนนจากเอกสารที่ผู้ยื่นข้อเสนอยื่นมา</w:t>
              <w:br/>
              <w:t xml:space="preserve">**(๒.๓) รายละเอียดโครงการและแผนการทำงาน** (โครงการระบบอำนวยความสะดวกและความปลอดภัย ลานจอดอากาศยาน ท่าอากาศยานสุราษฎร์ธานี) (น้ำหนักร้อยละ ๑๐) ประกอบด้วย</w:t>
              <w:br/>
              <w:t xml:space="preserve">(๒.๓.๑) แผนการดำเนินโครงการและแผนการเบิกจ่ายเงิน ร้อยละ ๕</w:t>
              <w:br/>
              <w:t xml:space="preserve">(๒.๓.๒) System Diagram ของโครงการ ร้อยละ ๕</w:t>
              <w:br/>
              <w:t xml:space="preserve">(๒.๓.๑) แผนการดำเนินโครงการและแผนการเบิกจ่ายเงิน ให้น้ำหนักร้อยละ ๕ โดยพิจารณาคะแนนจากเอกสารผู้ยื่นข้อเสนอ ดังนี้</w:t>
              <w:br/>
              <w:t xml:space="preserve">เงื่อนไข | คะแนนเต็ม | คะแนนที่ได้</w:t>
              <w:br/>
              <w:t xml:space="preserve">ผู้ยื่นข้อเสนอ มีวิธีการและไม่อธิบายวิธีการ การนำเสนอรายงานหรือแผนงาน | ๗๐ |</w:t>
              <w:br/>
              <w:t xml:space="preserve">ผู้ยื่นข้อเสนอ ไม่อธิบายวิธีการหรืออธิบายไม่ชัดเจน มีการนำเสนอรายงานหรือแผนงาน พร้อมทั้งสามารถอธิบายรายงานหรือแผนงานได้ แต่ยังไม่มีความชัดเจนหรือความเข้าใจตรงตามวัตถุประสงค์ของโครงการ | ๘๕ |</w:t>
              <w:br/>
              <w:t xml:space="preserve">ผู้ยื่นข้อเสนอ อธิบายวิธีการชัดเจน มีการนำเสนอแผนการดำเนินโครงการ (Schedule Plan) แผนการเบิกจ่ายเงิน และอธิบายรายละเอียดได้อย่างชัดเจน | ๑๐๐ |</w:t>
              <w:br/>
              <w:t xml:space="preserve">๑.) ประธานกรรมการ ๒.) กรรมการ ๓.) กรรมการ</w:t>
              <w:br/>
              <w:t xml:space="preserve">(นายเอกชนกเมล็ด เผด็จส่งเสริมฯ) (นางสาวสมเกิด โสตศิลป์) (นายฉัตรพันธ์ กะทัด)</w:t>
              <w:br/>
              <w:t xml:space="preserve">เอกสารภาคผนวก ค.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(๒.๓.๒) System Diagram ของโครงการ ให้น้ำหนักร้อยละ ๕</w:t>
              <w:br/>
              <w:t xml:space="preserve">เงื่อนไข | คะแนนเต็ม | คะแนนที่ได้</w:t>
              <w:br/>
              <w:t xml:space="preserve">ผู้ยื่นข้อเสนอ มีวิธีการและไม่อธิบายวิธีการ การนำเสนอ System Diagram | ๗๐ |</w:t>
              <w:br/>
              <w:t xml:space="preserve">ผู้ยื่นข้อเสนอ ไม่อธิบายวิธีการหรืออธิบายไม่ชัดเจน มีการนำเสนอ System Diagram พร้อมทั้งสามารถอธิบาย System Diagram ได้ แต่ยังไม่มีความชัดเจนหรือความเข้าใจตรงตามวัตถุประสงค์ของโครงการ | ๘๕ |</w:t>
              <w:br/>
              <w:t xml:space="preserve">ผู้ยื่นข้อเสนอ อธิบายวิธีการชัดเจน มีการนำเสนอ System Diagram พร้อมทั้งสามารถอธิบาย System Diagram ได้อย่างชัดเจน มีความเข้าใจตรงตามวัตถุประสงค์ของโครงการ | ๑๐๐ |</w:t>
              <w:br/>
              <w:t xml:space="preserve">๒.๓.๑ แผนการดำเนินโครงการและแผนการเบิกจ่ายเงิน ๕ คะแนน</w:t>
              <w:br/>
              <w:t xml:space="preserve">**เกณฑ์ในการพิจารณา :** จะพิจารณาจากการวางแผนโครงการ แผนการปฏิบัติงาน การวางแผนการเงิน และความสอดคล้องของแผนปฏิบัติงานและระยะเวลาเป็นหลัก</w:t>
              <w:br/>
              <w:t xml:space="preserve">**เกณฑ์การให้คะแนน**</w:t>
              <w:br/>
              <w:t xml:space="preserve">*   อธิบายวิธีการชัดเจน หมายถึง พบเอกสารแผนการดำเนินโครงการและแผนการเบิกจ่ายเงิน มีการระบุหัวข้อวิธีการตามที่กำหนดชัดเจน มีความสอดคล้องกับระยะเวลาของโครงการ และแสดงผลลัพธ์ในการดำเนินงานไว้อย่างละเอียด พร้อมอธิบายรายละเอียดอย่างชัดเจน</w:t>
              <w:br/>
              <w:t xml:space="preserve">*   ไม่อธิบายวิธีการหรืออธิบายไม่ชัดเจน หมายถึง พบเอกสารแผนการดำเนินโครงการและแผนการเบิกจ่ายเงิน มีการระบุหัวข้อวิธีการตามที่กำหนดชัดเจน มีความสอดคล้องกับระยะเวลาของโครงการ แต่อธิบายรายละเอียดไม่ชัดเจน</w:t>
              <w:br/>
              <w:t xml:space="preserve">*   มีวิธีการและไม่อธิบายวิธีการ หมายถึง พบเอกสารแผนการดำเนินโครงการและแผนการเบิกจ่ายเงิน ไม่ครบถ้วน ส่งผลให้ไม่สามารถอธิบายรายละเอียดการทำงานของโครงการฯ ได้</w:t>
              <w:br/>
              <w:t xml:space="preserve">*   ไม่มีวิธีการและไม่อธิบายวิธีการ หมายถึง ไม่พบเอกสาร</w:t>
              <w:br/>
              <w:t xml:space="preserve">๒.๓.๒ System Diagram ของโครงการฯ ๕ คะแนน</w:t>
              <w:br/>
              <w:t xml:space="preserve">**เกณฑ์ในการพิจารณา :** จะพิจารณาจากการนำเสนอ System Diagram เป็นหลัก</w:t>
              <w:br/>
              <w:t xml:space="preserve">**เกณฑ์การให้คะแนน**</w:t>
              <w:br/>
              <w:t xml:space="preserve">*   อธิบายวิธีการชัดเจน หมายถึง เอกสารการนำเสนอ System Diagram มีการระบุยี่ห้อ รุ่น ของอุปกรณ์ พร้อมทั้งอธิบายหลักการทำงานของระบบอย่างชัดเจน</w:t>
              <w:br/>
              <w:t xml:space="preserve">*   ไม่อธิบายวิธีการหรืออธิบายไม่ชัดเจน หมายถึง เอกสารการนำเสนอ System Diagram มีการระบุยี่ห้อ รุ่น ของอุปกรณ์ แต่ไม่แสดงรายละเอียดหลักการทำงานของระบบ</w:t>
              <w:br/>
              <w:t xml:space="preserve">*   ไม่มีวิธีการและไม่อธิบายวิธีการ หมายถึง มีเอกสารการนำเสนอ System Diagram แต่ไม่แสดงรายละเอียดยี่ห้อ รุ่น ของอุปกรณ์ และไม่แสดงรายละเอียดหลักการทำงานของระบบ</w:t>
              <w:br/>
              <w:t xml:space="preserve">*   ไม่มีวิธีการและไม่อธิบายวิธีการ หมายถึง ไม่พบเอกสาร</w:t>
              <w:br/>
              <w:t xml:space="preserve">**วิธีการประเมินหรือการให้คะแนน** พิจารณาจากการให้คะแนนจากเอกสารที่ผู้ยื่นข้อเสนอยื่นมา</w:t>
              <w:br/>
              <w:t xml:space="preserve">(ลายเซ็น)</w:t>
              <w:br/>
              <w:t xml:space="preserve">ประธานกรรมการ ๒.)</w:t>
              <w:br/>
              <w:t xml:space="preserve">(นายเอกนภา เจริญพร เจาะเลา)</w:t>
              <w:br/>
              <w:t xml:space="preserve">กรรมการ ๓.)</w:t>
              <w:br/>
              <w:t xml:space="preserve">(นายเสิดรพัฒน์ กะเท็ด)</w:t>
              <w:br/>
              <w:t xml:space="preserve">กรรมการ</w:t>
              <w:br/>
              <w:t xml:space="preserve">(นายเสิดรพัฒน์ กะเท็ด)</w:t>
              <w:br/>
              <w:t xml:space="preserve">เอกสารภาคผนวก ค. (เกณฑ์การพิจารณาข้อเสนอ โครงการ ระบบอำนวยความสะดวกและความปลอดภัย ลานจอดอากาศยาน ท่าอากาศยานสุราษฎร์ธานี)</w:t>
              <w:br/>
              <w:t xml:space="preserve">(๒.๔) ระยะเวลาการรับประกันความชำรุดบกพร่อง ให้น้ำหนักร้อยละ ๕ โดยพิจารณาคะแนนจากระยะเวลา ดังนี้</w:t>
              <w:br/>
              <w:t xml:space="preserve">เงื่อนไข | คะแนนเต็ม | คะแนนที่ได้</w:t>
              <w:br/>
              <w:t xml:space="preserve">ระยะเวลาการรับประกันความชำรุดบกพร่อง ๒ ปี | ๗๐ |</w:t>
              <w:br/>
              <w:t xml:space="preserve">ระยะเวลาการรับประกันความชำรุดบกพร่อง ๓ ปี | ๘๕ |</w:t>
              <w:br/>
              <w:t xml:space="preserve">ระยะเวลาการรับประกันความชำรุดบกพร่องตั้งแต่ ๔ ปีขึ้นไป | ๑๐๐ |</w:t>
              <w:br/>
              <w:t xml:space="preserve">วิธีการประเมินหรือการให้คะแนน พิจารณาจากการให้คะแนนจากเอกสารที่ผู้ยื่นข้อเสนอยื่นมา</w:t>
              <w:br/>
              <w:t xml:space="preserve">(ลายเซ็น)</w:t>
              <w:br/>
              <w:t xml:space="preserve">ประธานกรรมการ ๒.)  [ลายเซ็น]  กรรมการ ๓.)  [ลายเซ็น]  กรรมการ</w:t>
              <w:br/>
              <w:t xml:space="preserve">(นายเอกภพภูเขา เข็มครุ่งเสถไล)</w:t>
              <w:br/>
              <w:t xml:space="preserve">(นางสาวชุติธร โสตถิวงค์)</w:t>
              <w:br/>
              <w:t xml:space="preserve">(นายจัดระพันธ์ แก้วโค)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napToGrid w:val="0"/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  <w:rPr>
                <w:rFonts w:ascii="TH Sarabun New" w:hAnsi="TH Sarabun New" w:cs="TH Sarabun New"/>
                <w:color w:val="000000"/>
                <w:sz w:val="28"/>
                <w:szCs w:val="28"/>
                <w:lang w:bidi="th-TH"/>
              </w:rPr>
            </w:pPr>
          </w:p>
        </w:tc>
      </w:tr>
    </w:tbl>
    <w:p w14:paraId="0DCAD7A1" w14:textId="77777777" w:rsidR="00E07473" w:rsidRDefault="00E07473" w:rsidP="00E07473">
      <w:pPr>
        <w:rPr>
          <w:rFonts w:ascii="TH Sarabun New" w:hAnsi="TH Sarabun New" w:cs="TH Sarabun New"/>
          <w:sz w:val="6"/>
          <w:szCs w:val="6"/>
          <w:lang w:bidi="th-TH"/>
        </w:rPr>
      </w:pPr>
    </w:p>
    <w:sectPr w:rsidR="00E07473">
      <w:headerReference w:type="default" r:id="rId7"/>
      <w:footerReference w:type="default" r:id="rId8"/>
      <w:pgSz w:w="16838" w:h="11906" w:orient="landscape"/>
      <w:pgMar w:top="803" w:right="640" w:bottom="567" w:left="1440" w:header="747" w:footer="47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05CD9" w14:textId="77777777" w:rsidR="00157D0F" w:rsidRDefault="00157D0F">
      <w:r>
        <w:separator/>
      </w:r>
    </w:p>
  </w:endnote>
  <w:endnote w:type="continuationSeparator" w:id="0">
    <w:p w14:paraId="74A89BB9" w14:textId="77777777" w:rsidR="00157D0F" w:rsidRDefault="00157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;Malgun Gothic">
    <w:panose1 w:val="00000000000000000000"/>
    <w:charset w:val="00"/>
    <w:family w:val="roman"/>
    <w:notTrueType/>
    <w:pitch w:val="default"/>
  </w:font>
  <w:font w:name="CordiaUPC">
    <w:panose1 w:val="020B0304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</w:font>
  <w:font w:name="AngsanaUPC">
    <w:panose1 w:val="02020603050405020304"/>
    <w:charset w:val="00"/>
    <w:family w:val="roman"/>
    <w:pitch w:val="variable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Ind w:w="-162" w:type="dxa"/>
      <w:tblLayout w:type="fixed"/>
      <w:tblLook w:val="04A0" w:firstRow="1" w:lastRow="0" w:firstColumn="1" w:lastColumn="0" w:noHBand="0" w:noVBand="1"/>
    </w:tblPr>
    <w:tblGrid>
      <w:gridCol w:w="14670"/>
    </w:tblGrid>
    <w:tr w:rsidR="00BB5204" w14:paraId="5D304C36" w14:textId="77777777">
      <w:trPr>
        <w:trHeight w:val="510"/>
      </w:trPr>
      <w:tc>
        <w:tcPr>
          <w:tcW w:w="14670" w:type="dxa"/>
        </w:tcPr>
        <w:p w14:paraId="21308378" w14:textId="77777777" w:rsidR="00BB5204" w:rsidRDefault="00000000">
          <w:pPr>
            <w:pStyle w:val="Footer"/>
            <w:tabs>
              <w:tab w:val="clear" w:pos="8306"/>
              <w:tab w:val="right" w:pos="7786"/>
            </w:tabs>
            <w:jc w:val="center"/>
            <w:rPr>
              <w:rFonts w:ascii="TH SarabunIT๙" w:eastAsia="Cordia New" w:hAnsi="TH SarabunIT๙" w:cs="TH SarabunIT๙"/>
              <w:sz w:val="28"/>
              <w:szCs w:val="28"/>
              <w:lang w:val="en-GB"/>
            </w:rPr>
          </w:pPr>
          <w:r>
            <w:rPr>
              <w:rFonts w:ascii="TH SarabunIT๙" w:eastAsia="Cordia New" w:hAnsi="TH SarabunIT๙" w:cs="TH SarabunIT๙"/>
              <w:sz w:val="28"/>
              <w:szCs w:val="28"/>
              <w:lang w:val="en-GB"/>
            </w:rPr>
            <w:t xml:space="preserve">หน้า </w: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begin"/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instrText xml:space="preserve"> PAGE </w:instrTex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separate"/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t>111</w: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end"/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t xml:space="preserve"> ของ </w: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begin"/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instrText xml:space="preserve"> NUMPAGES \* ARABIC </w:instrTex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separate"/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t>111</w:t>
          </w:r>
          <w:r>
            <w:rPr>
              <w:rStyle w:val="PageNumber"/>
              <w:rFonts w:ascii="TH SarabunIT๙" w:eastAsia="Cordia New" w:hAnsi="TH SarabunIT๙" w:cs="TH SarabunIT๙"/>
              <w:sz w:val="28"/>
              <w:szCs w:val="28"/>
              <w:lang w:val="en-GB"/>
            </w:rPr>
            <w:fldChar w:fldCharType="end"/>
          </w:r>
        </w:p>
      </w:tc>
    </w:tr>
  </w:tbl>
  <w:p w14:paraId="20E8A79C" w14:textId="77777777" w:rsidR="00BB5204" w:rsidRDefault="00BB52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98455" w14:textId="77777777" w:rsidR="00157D0F" w:rsidRDefault="00157D0F">
      <w:r>
        <w:separator/>
      </w:r>
    </w:p>
  </w:footnote>
  <w:footnote w:type="continuationSeparator" w:id="0">
    <w:p w14:paraId="6B3C652E" w14:textId="77777777" w:rsidR="00157D0F" w:rsidRDefault="00157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3D55F" w14:textId="77777777" w:rsidR="00BB5204" w:rsidRDefault="00BB5204">
    <w:pPr>
      <w:pStyle w:val="Header"/>
      <w:jc w:val="center"/>
      <w:rPr>
        <w:rFonts w:ascii="TH Sarabun New" w:hAnsi="TH Sarabun New" w:cs="TH Sarabun New"/>
        <w:b/>
        <w:bCs/>
      </w:rPr>
    </w:pPr>
  </w:p>
  <w:p w14:paraId="220D5616" w14:textId="77777777" w:rsidR="00BB5204" w:rsidRDefault="00000000">
    <w:pPr>
      <w:pStyle w:val="Header"/>
      <w:ind w:left="-270"/>
      <w:jc w:val="center"/>
      <w:rPr>
        <w:rFonts w:ascii="TH Sarabun New" w:hAnsi="TH Sarabun New" w:cs="TH Sarabun New"/>
        <w:b/>
        <w:bCs/>
        <w:sz w:val="32"/>
        <w:szCs w:val="32"/>
      </w:rPr>
    </w:pPr>
    <w:r>
      <w:rPr>
        <w:rFonts w:ascii="TH Sarabun New" w:hAnsi="TH Sarabun New" w:cs="TH Sarabun New"/>
        <w:b/>
        <w:bCs/>
        <w:sz w:val="32"/>
        <w:szCs w:val="32"/>
      </w:rPr>
      <w:t>ซื้อระบบอำนวยความสะดวกและความปลอดภัย ลานจอดอากาศยาน ท่าอากาศยานสุราษฎร์ธานี ๑ ระบบ ครั้งที่ ๒</w:t>
    </w:r>
  </w:p>
  <w:tbl>
    <w:tblPr>
      <w:tblW w:w="14850" w:type="dxa"/>
      <w:tblInd w:w="-379" w:type="dxa"/>
      <w:tblLayout w:type="fixed"/>
      <w:tblCellMar>
        <w:left w:w="71" w:type="dxa"/>
        <w:right w:w="71" w:type="dxa"/>
      </w:tblCellMar>
      <w:tblLook w:val="04A0" w:firstRow="1" w:lastRow="0" w:firstColumn="1" w:lastColumn="0" w:noHBand="0" w:noVBand="1"/>
    </w:tblPr>
    <w:tblGrid>
      <w:gridCol w:w="990"/>
      <w:gridCol w:w="5220"/>
      <w:gridCol w:w="3060"/>
      <w:gridCol w:w="1170"/>
      <w:gridCol w:w="1260"/>
      <w:gridCol w:w="3150"/>
    </w:tblGrid>
    <w:tr w:rsidR="00BB5204" w14:paraId="0F8B0D16" w14:textId="77777777">
      <w:trPr>
        <w:cantSplit/>
        <w:trHeight w:val="231"/>
      </w:trPr>
      <w:tc>
        <w:tcPr>
          <w:tcW w:w="14850" w:type="dxa"/>
          <w:gridSpan w:val="6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8" w:space="0" w:color="000000"/>
          </w:tcBorders>
          <w:shd w:val="clear" w:color="auto" w:fill="D9D9D9"/>
          <w:vAlign w:val="center"/>
        </w:tcPr>
        <w:p w14:paraId="74AC42C9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lang w:bidi="th-TH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ตารางเปรียบเทียบคุณสมบัติทางเทคนิค</w:t>
          </w:r>
        </w:p>
      </w:tc>
    </w:tr>
    <w:tr w:rsidR="00BB5204" w14:paraId="20C878B3" w14:textId="77777777">
      <w:trPr>
        <w:cantSplit/>
        <w:trHeight w:val="231"/>
      </w:trPr>
      <w:tc>
        <w:tcPr>
          <w:tcW w:w="990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4" w:space="0" w:color="000000"/>
          </w:tcBorders>
          <w:shd w:val="clear" w:color="auto" w:fill="D9D9D9"/>
          <w:vAlign w:val="center"/>
        </w:tcPr>
        <w:p w14:paraId="6481C667" w14:textId="77777777" w:rsidR="00BB5204" w:rsidRDefault="00000000">
          <w:pPr>
            <w:pStyle w:val="Heading2"/>
            <w:jc w:val="center"/>
            <w:rPr>
              <w:rFonts w:ascii="TH Sarabun New" w:hAnsi="TH Sarabun New" w:cs="TH Sarabun New"/>
              <w:sz w:val="32"/>
              <w:szCs w:val="32"/>
            </w:rPr>
          </w:pPr>
          <w:r>
            <w:rPr>
              <w:rFonts w:ascii="TH Sarabun New" w:hAnsi="TH Sarabun New" w:cs="TH Sarabun New"/>
              <w:sz w:val="32"/>
              <w:szCs w:val="32"/>
            </w:rPr>
            <w:t>ลำดับ</w:t>
          </w:r>
        </w:p>
      </w:tc>
      <w:tc>
        <w:tcPr>
          <w:tcW w:w="5220" w:type="dxa"/>
          <w:vMerge w:val="restart"/>
          <w:tcBorders>
            <w:top w:val="single" w:sz="6" w:space="0" w:color="000000"/>
            <w:left w:val="single" w:sz="4" w:space="0" w:color="000000"/>
            <w:bottom w:val="single" w:sz="6" w:space="0" w:color="000000"/>
            <w:right w:val="single" w:sz="6" w:space="0" w:color="000000"/>
          </w:tcBorders>
          <w:shd w:val="clear" w:color="auto" w:fill="D9D9D9"/>
          <w:vAlign w:val="center"/>
        </w:tcPr>
        <w:p w14:paraId="61A54D36" w14:textId="77777777" w:rsidR="00BB5204" w:rsidRDefault="00000000">
          <w:pPr>
            <w:pStyle w:val="Heading2"/>
            <w:jc w:val="center"/>
            <w:rPr>
              <w:rFonts w:ascii="TH Sarabun New" w:hAnsi="TH Sarabun New" w:cs="TH Sarabun New"/>
              <w:sz w:val="32"/>
              <w:szCs w:val="32"/>
            </w:rPr>
          </w:pPr>
          <w:r>
            <w:rPr>
              <w:rFonts w:ascii="TH Sarabun New" w:hAnsi="TH Sarabun New" w:cs="TH Sarabun New"/>
              <w:sz w:val="32"/>
              <w:szCs w:val="32"/>
            </w:rPr>
            <w:t>คุณสมบัติทางเทคนิคตาม TOR</w:t>
          </w:r>
        </w:p>
      </w:tc>
      <w:tc>
        <w:tcPr>
          <w:tcW w:w="5490" w:type="dxa"/>
          <w:gridSpan w:val="3"/>
          <w:tcBorders>
            <w:top w:val="single" w:sz="6" w:space="0" w:color="000000"/>
            <w:left w:val="single" w:sz="6" w:space="0" w:color="000000"/>
            <w:bottom w:val="single" w:sz="6" w:space="0" w:color="000000"/>
          </w:tcBorders>
          <w:shd w:val="clear" w:color="auto" w:fill="D9D9D9"/>
          <w:vAlign w:val="center"/>
        </w:tcPr>
        <w:p w14:paraId="1D8FEAC2" w14:textId="77777777" w:rsidR="00BB5204" w:rsidRDefault="00000000">
          <w:pPr>
            <w:ind w:left="-355" w:firstLine="355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ข้อเสนอ</w:t>
          </w:r>
        </w:p>
      </w:tc>
      <w:tc>
        <w:tcPr>
          <w:tcW w:w="3150" w:type="dxa"/>
          <w:vMerge w:val="restart"/>
          <w:tcBorders>
            <w:top w:val="single" w:sz="6" w:space="0" w:color="000000"/>
            <w:left w:val="single" w:sz="6" w:space="0" w:color="000000"/>
            <w:right w:val="single" w:sz="8" w:space="0" w:color="000000"/>
          </w:tcBorders>
          <w:shd w:val="clear" w:color="auto" w:fill="D9D9D9"/>
        </w:tcPr>
        <w:p w14:paraId="352DDBA9" w14:textId="77777777" w:rsidR="00BB5204" w:rsidRDefault="00BB5204">
          <w:pPr>
            <w:snapToGrid w:val="0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</w:pPr>
        </w:p>
        <w:p w14:paraId="3B50AB4D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ชื่อไฟล์เอกสาร/เลขเล่ม/เลขหน้า</w:t>
          </w:r>
        </w:p>
      </w:tc>
    </w:tr>
    <w:tr w:rsidR="00BB5204" w14:paraId="10E96EC2" w14:textId="77777777">
      <w:trPr>
        <w:cantSplit/>
        <w:trHeight w:val="78"/>
      </w:trPr>
      <w:tc>
        <w:tcPr>
          <w:tcW w:w="990" w:type="dxa"/>
          <w:vMerge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4" w:space="0" w:color="000000"/>
          </w:tcBorders>
          <w:shd w:val="clear" w:color="auto" w:fill="D9D9D9"/>
          <w:vAlign w:val="center"/>
        </w:tcPr>
        <w:p w14:paraId="45CB28B1" w14:textId="77777777" w:rsidR="00BB5204" w:rsidRDefault="00BB5204">
          <w:pPr>
            <w:snapToGrid w:val="0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  <w:tc>
        <w:tcPr>
          <w:tcW w:w="5220" w:type="dxa"/>
          <w:vMerge/>
          <w:tcBorders>
            <w:top w:val="single" w:sz="6" w:space="0" w:color="000000"/>
            <w:left w:val="single" w:sz="4" w:space="0" w:color="000000"/>
            <w:bottom w:val="single" w:sz="6" w:space="0" w:color="000000"/>
            <w:right w:val="single" w:sz="6" w:space="0" w:color="000000"/>
          </w:tcBorders>
          <w:shd w:val="clear" w:color="auto" w:fill="D9D9D9"/>
          <w:vAlign w:val="center"/>
        </w:tcPr>
        <w:p w14:paraId="1DE4FAF3" w14:textId="77777777" w:rsidR="00BB5204" w:rsidRDefault="00BB5204">
          <w:pPr>
            <w:snapToGrid w:val="0"/>
            <w:jc w:val="center"/>
            <w:rPr>
              <w:rFonts w:ascii="TH Sarabun New" w:hAnsi="TH Sarabun New" w:cs="TH Sarabun New"/>
            </w:rPr>
          </w:pPr>
        </w:p>
      </w:tc>
      <w:tc>
        <w:tcPr>
          <w:tcW w:w="306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D9D9D9"/>
          <w:vAlign w:val="center"/>
        </w:tcPr>
        <w:p w14:paraId="747BFE49" w14:textId="77777777" w:rsidR="00BB5204" w:rsidRDefault="00000000">
          <w:pPr>
            <w:ind w:left="17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คุณสมบัติทางเทคนิคของ</w:t>
          </w:r>
        </w:p>
        <w:p w14:paraId="53D737B2" w14:textId="77777777" w:rsidR="00BB5204" w:rsidRDefault="00000000">
          <w:pPr>
            <w:ind w:left="17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ผู้ยื่นข้อเสนอ</w:t>
          </w:r>
        </w:p>
      </w:tc>
      <w:tc>
        <w:tcPr>
          <w:tcW w:w="117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4" w:space="0" w:color="000000"/>
          </w:tcBorders>
          <w:shd w:val="clear" w:color="auto" w:fill="D9D9D9"/>
          <w:vAlign w:val="center"/>
        </w:tcPr>
        <w:p w14:paraId="02808734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ตรง</w:t>
          </w:r>
        </w:p>
        <w:p w14:paraId="17CF79B6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ข้อกำหนด</w:t>
          </w:r>
        </w:p>
      </w:tc>
      <w:tc>
        <w:tcPr>
          <w:tcW w:w="1260" w:type="dxa"/>
          <w:tcBorders>
            <w:top w:val="single" w:sz="6" w:space="0" w:color="000000"/>
            <w:left w:val="single" w:sz="4" w:space="0" w:color="000000"/>
            <w:bottom w:val="single" w:sz="6" w:space="0" w:color="000000"/>
            <w:right w:val="single" w:sz="6" w:space="0" w:color="000000"/>
          </w:tcBorders>
          <w:shd w:val="clear" w:color="auto" w:fill="D9D9D9"/>
          <w:vAlign w:val="center"/>
        </w:tcPr>
        <w:p w14:paraId="0D7CE7DB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ดีกว่า</w:t>
          </w:r>
        </w:p>
        <w:p w14:paraId="0BD77189" w14:textId="77777777" w:rsidR="00BB5204" w:rsidRDefault="0000000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t>ข้อกำหนด</w:t>
          </w:r>
        </w:p>
      </w:tc>
      <w:tc>
        <w:tcPr>
          <w:tcW w:w="3150" w:type="dxa"/>
          <w:vMerge/>
          <w:tcBorders>
            <w:top w:val="single" w:sz="6" w:space="0" w:color="000000"/>
            <w:left w:val="single" w:sz="6" w:space="0" w:color="000000"/>
            <w:right w:val="single" w:sz="8" w:space="0" w:color="000000"/>
          </w:tcBorders>
          <w:shd w:val="clear" w:color="auto" w:fill="D9D9D9"/>
        </w:tcPr>
        <w:p w14:paraId="632B585A" w14:textId="77777777" w:rsidR="00BB5204" w:rsidRDefault="00BB5204">
          <w:pPr>
            <w:snapToGrid w:val="0"/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</w:tr>
  </w:tbl>
  <w:p w14:paraId="664AB7D4" w14:textId="77777777" w:rsidR="00BB5204" w:rsidRDefault="00BB5204">
    <w:pPr>
      <w:pStyle w:val="Header"/>
      <w:rPr>
        <w:rFonts w:cs="Cordia New"/>
        <w:sz w:val="2"/>
        <w:szCs w:val="2"/>
      </w:rPr>
    </w:pPr>
    <w:bookmarkStart w:id="0" w:name="_Hlk167891769"/>
    <w:bookmarkStart w:id="1" w:name="_Hlk167891768"/>
    <w:bookmarkStart w:id="2" w:name="_Hlk167888922"/>
    <w:bookmarkStart w:id="3" w:name="_Hlk167888921"/>
    <w:bookmarkEnd w:id="0"/>
    <w:bookmarkEnd w:id="1"/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161F"/>
    <w:multiLevelType w:val="multilevel"/>
    <w:tmpl w:val="ACA6C62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3121941"/>
    <w:multiLevelType w:val="multilevel"/>
    <w:tmpl w:val="018A7F76"/>
    <w:lvl w:ilvl="0">
      <w:start w:val="1"/>
      <w:numFmt w:val="decimal"/>
      <w:pStyle w:val="Number1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360"/>
      </w:pPr>
      <w:rPr>
        <w:b w:val="0"/>
        <w:bCs w:val="0"/>
        <w:color w:val="000000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121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30"/>
        <w:szCs w:val="30"/>
        <w:u w:val="none"/>
        <w:vertAlign w:val="baseline"/>
        <w:em w:val="none"/>
        <w:lang w:val="en-US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thaiLetters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7">
      <w:start w:val="1"/>
      <w:numFmt w:val="thaiLetters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bullet"/>
      <w:lvlText w:val="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</w:abstractNum>
  <w:abstractNum w:abstractNumId="2" w15:restartNumberingAfterBreak="0">
    <w:nsid w:val="5F46441C"/>
    <w:multiLevelType w:val="multilevel"/>
    <w:tmpl w:val="62B2E5E2"/>
    <w:lvl w:ilvl="0">
      <w:start w:val="3"/>
      <w:numFmt w:val="upperLetter"/>
      <w:pStyle w:val="X1xf"/>
      <w:lvlText w:val="%1"/>
      <w:lvlJc w:val="left"/>
      <w:pPr>
        <w:tabs>
          <w:tab w:val="num" w:pos="0"/>
        </w:tabs>
        <w:ind w:left="425" w:hanging="425"/>
      </w:pPr>
    </w:lvl>
    <w:lvl w:ilvl="1">
      <w:start w:val="1"/>
      <w:numFmt w:val="decimal"/>
      <w:lvlText w:val="%1%2"/>
      <w:lvlJc w:val="left"/>
      <w:pPr>
        <w:tabs>
          <w:tab w:val="num" w:pos="0"/>
        </w:tabs>
        <w:ind w:left="425" w:hanging="425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425" w:hanging="425"/>
      </w:pPr>
    </w:lvl>
    <w:lvl w:ilvl="3">
      <w:start w:val="2"/>
      <w:numFmt w:val="lowerLetter"/>
      <w:lvlText w:val="%2%4."/>
      <w:lvlJc w:val="left"/>
      <w:pPr>
        <w:tabs>
          <w:tab w:val="num" w:pos="0"/>
        </w:tabs>
        <w:ind w:left="425" w:hanging="425"/>
      </w:pPr>
    </w:lvl>
    <w:lvl w:ilvl="4">
      <w:start w:val="1"/>
      <w:numFmt w:val="decimal"/>
      <w:lvlText w:val="%2%4.%5"/>
      <w:lvlJc w:val="left"/>
      <w:pPr>
        <w:tabs>
          <w:tab w:val="num" w:pos="0"/>
        </w:tabs>
        <w:ind w:left="1134" w:hanging="709"/>
      </w:pPr>
    </w:lvl>
    <w:lvl w:ilvl="5">
      <w:start w:val="1"/>
      <w:numFmt w:val="decimal"/>
      <w:lvlText w:val="%2%4.%5.%6"/>
      <w:lvlJc w:val="left"/>
      <w:pPr>
        <w:tabs>
          <w:tab w:val="num" w:pos="1560"/>
        </w:tabs>
        <w:ind w:left="1985" w:hanging="851"/>
      </w:pPr>
      <w:rPr>
        <w:b w:val="0"/>
        <w:bCs w:val="0"/>
      </w:rPr>
    </w:lvl>
    <w:lvl w:ilvl="6">
      <w:start w:val="1"/>
      <w:numFmt w:val="decimal"/>
      <w:lvlText w:val="%2%4.%5.%6.%7"/>
      <w:lvlJc w:val="left"/>
      <w:pPr>
        <w:tabs>
          <w:tab w:val="num" w:pos="1985"/>
        </w:tabs>
        <w:ind w:left="2977" w:hanging="992"/>
      </w:pPr>
      <w:rPr>
        <w:b w:val="0"/>
        <w:bCs w:val="0"/>
      </w:rPr>
    </w:lvl>
    <w:lvl w:ilvl="7">
      <w:start w:val="1"/>
      <w:numFmt w:val="decimal"/>
      <w:lvlText w:val="%2%4.%5.%6.%7.%8"/>
      <w:lvlJc w:val="left"/>
      <w:pPr>
        <w:tabs>
          <w:tab w:val="num" w:pos="0"/>
        </w:tabs>
        <w:ind w:left="4111" w:hanging="1134"/>
      </w:pPr>
      <w:rPr>
        <w:b w:val="0"/>
        <w:bCs w:val="0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425" w:hanging="425"/>
      </w:pPr>
    </w:lvl>
  </w:abstractNum>
  <w:num w:numId="1" w16cid:durableId="497616883">
    <w:abstractNumId w:val="0"/>
  </w:num>
  <w:num w:numId="2" w16cid:durableId="1561403655">
    <w:abstractNumId w:val="2"/>
  </w:num>
  <w:num w:numId="3" w16cid:durableId="1916470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G1NDA2MrUwNbM0M7FQ0lEKTi0uzszPAykwqwUAuaP67ywAAAA="/>
  </w:docVars>
  <w:rsids>
    <w:rsidRoot w:val="00BB5204"/>
    <w:rsid w:val="00157D0F"/>
    <w:rsid w:val="00872EF0"/>
    <w:rsid w:val="00BB5204"/>
    <w:rsid w:val="00E07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F79FE"/>
  <w15:docId w15:val="{21FADCFE-F640-4DA2-BDB1-6BA0AD275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outlineLvl w:val="0"/>
    </w:pPr>
    <w:rPr>
      <w:rFonts w:cs="Cordia New"/>
      <w:b/>
      <w:bCs/>
      <w:lang w:bidi="th-TH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outlineLvl w:val="1"/>
    </w:pPr>
    <w:rPr>
      <w:rFonts w:cs="Cordia New"/>
      <w:b/>
      <w:bCs/>
      <w:sz w:val="30"/>
      <w:szCs w:val="30"/>
      <w:lang w:bidi="th-TH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 w:cs="Cordia New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 w:cs="Cordia New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qFormat/>
  </w:style>
  <w:style w:type="character" w:customStyle="1" w:styleId="WW8Num2z5">
    <w:name w:val="WW8Num2z5"/>
    <w:qFormat/>
    <w:rPr>
      <w:b w:val="0"/>
      <w:bCs w:val="0"/>
    </w:rPr>
  </w:style>
  <w:style w:type="character" w:customStyle="1" w:styleId="WW8Num3z0">
    <w:name w:val="WW8Num3z0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  <w:rPr>
      <w:rFonts w:ascii="TH Sarabun New" w:eastAsia="TH Sarabun New" w:hAnsi="TH Sarabun New" w:cs="TH Sarabun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WW8Num4z4">
    <w:name w:val="WW8Num4z4"/>
    <w:qFormat/>
    <w:rPr>
      <w:rFonts w:ascii="Courier New" w:hAnsi="Courier New" w:cs="Courier New"/>
    </w:rPr>
  </w:style>
  <w:style w:type="character" w:customStyle="1" w:styleId="WW8Num6z0">
    <w:name w:val="WW8Num6z0"/>
    <w:qFormat/>
  </w:style>
  <w:style w:type="character" w:customStyle="1" w:styleId="WW8Num6z1">
    <w:name w:val="WW8Num6z1"/>
    <w:qFormat/>
    <w:rPr>
      <w:rFonts w:ascii="TH Sarabun New" w:eastAsia="TH Sarabun New" w:hAnsi="TH Sarabun New" w:cs="TH Sarabun New"/>
    </w:rPr>
  </w:style>
  <w:style w:type="character" w:customStyle="1" w:styleId="WW8Num6z2">
    <w:name w:val="WW8Num6z2"/>
    <w:qFormat/>
    <w:rPr>
      <w:rFonts w:ascii="Wingdings" w:hAnsi="Wingdings" w:cs="Wingdings"/>
    </w:rPr>
  </w:style>
  <w:style w:type="character" w:customStyle="1" w:styleId="WW8Num6z3">
    <w:name w:val="WW8Num6z3"/>
    <w:qFormat/>
    <w:rPr>
      <w:rFonts w:ascii="Symbol" w:hAnsi="Symbol" w:cs="Symbol"/>
    </w:rPr>
  </w:style>
  <w:style w:type="character" w:customStyle="1" w:styleId="WW8Num6z4">
    <w:name w:val="WW8Num6z4"/>
    <w:qFormat/>
    <w:rPr>
      <w:rFonts w:ascii="Courier New" w:hAnsi="Courier New" w:cs="Courier New"/>
    </w:rPr>
  </w:style>
  <w:style w:type="character" w:customStyle="1" w:styleId="WW8Num7z0">
    <w:name w:val="WW8Num7z0"/>
    <w:qFormat/>
    <w:rPr>
      <w:rFonts w:ascii=";Malgun Gothic" w:hAnsi=";Malgun Gothic" w:cs=";Malgun Gothic"/>
    </w:rPr>
  </w:style>
  <w:style w:type="character" w:customStyle="1" w:styleId="WW8Num8z0">
    <w:name w:val="WW8Num8z0"/>
    <w:qFormat/>
  </w:style>
  <w:style w:type="character" w:customStyle="1" w:styleId="WW8Num9z0">
    <w:name w:val="WW8Num9z0"/>
    <w:qFormat/>
    <w:rPr>
      <w:rFonts w:ascii="Wingdings" w:hAnsi="Wingdings" w:cs="Wingdings"/>
      <w:sz w:val="16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  <w:rPr>
      <w:rFonts w:ascii="TH Sarabun New" w:eastAsia="TH Sarabun New" w:hAnsi="TH Sarabun New" w:cs="TH Sarabun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1z4">
    <w:name w:val="WW8Num11z4"/>
    <w:qFormat/>
    <w:rPr>
      <w:rFonts w:ascii="Courier New" w:hAnsi="Courier New" w:cs="Courier New"/>
    </w:rPr>
  </w:style>
  <w:style w:type="character" w:customStyle="1" w:styleId="WW8Num12z0">
    <w:name w:val="WW8Num12z0"/>
    <w:qFormat/>
  </w:style>
  <w:style w:type="character" w:customStyle="1" w:styleId="WW8Num13z0">
    <w:name w:val="WW8Num13z0"/>
    <w:qFormat/>
    <w:rPr>
      <w:sz w:val="30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4z0">
    <w:name w:val="WW8Num14z0"/>
    <w:qFormat/>
  </w:style>
  <w:style w:type="character" w:customStyle="1" w:styleId="WW8Num15z0">
    <w:name w:val="WW8Num15z0"/>
    <w:qFormat/>
  </w:style>
  <w:style w:type="character" w:customStyle="1" w:styleId="WW8Num15z1">
    <w:name w:val="WW8Num15z1"/>
    <w:qFormat/>
    <w:rPr>
      <w:b w:val="0"/>
      <w:bCs w:val="0"/>
      <w:color w:val="000000"/>
    </w:rPr>
  </w:style>
  <w:style w:type="character" w:customStyle="1" w:styleId="WW8Num15z2">
    <w:name w:val="WW8Num15z2"/>
    <w:qFormat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w w:val="100"/>
      <w:kern w:val="0"/>
      <w:position w:val="0"/>
      <w:sz w:val="30"/>
      <w:szCs w:val="30"/>
      <w:u w:val="none"/>
      <w:vertAlign w:val="baseline"/>
      <w:em w:val="none"/>
      <w:lang w:val="en-US"/>
    </w:rPr>
  </w:style>
  <w:style w:type="character" w:customStyle="1" w:styleId="WW8Num15z5">
    <w:name w:val="WW8Num15z5"/>
    <w:qFormat/>
    <w:rPr>
      <w:rFonts w:ascii="Symbol" w:hAnsi="Symbol" w:cs="Symbol"/>
    </w:rPr>
  </w:style>
  <w:style w:type="character" w:customStyle="1" w:styleId="WW8Num15z6">
    <w:name w:val="WW8Num15z6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;Malgun Gothic" w:hAnsi=";Malgun Gothic" w:cs=";Malgun Gothic"/>
    </w:rPr>
  </w:style>
  <w:style w:type="character" w:customStyle="1" w:styleId="WW8Num20z0">
    <w:name w:val="WW8Num20z0"/>
    <w:qFormat/>
    <w:rPr>
      <w:rFonts w:ascii="Times New Roman" w:hAnsi="Times New Roman" w:cs="Times New Roman"/>
      <w:sz w:val="28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</w:style>
  <w:style w:type="character" w:customStyle="1" w:styleId="WW8Num30z0">
    <w:name w:val="WW8Num30z0"/>
    <w:qFormat/>
    <w:rPr>
      <w:rFonts w:ascii="Wingdings" w:hAnsi="Wingdings" w:cs="Wingdings"/>
      <w:sz w:val="16"/>
    </w:rPr>
  </w:style>
  <w:style w:type="character" w:customStyle="1" w:styleId="WW8Num31z0">
    <w:name w:val="WW8Num31z0"/>
    <w:qFormat/>
    <w:rPr>
      <w:sz w:val="30"/>
    </w:rPr>
  </w:style>
  <w:style w:type="character" w:styleId="PageNumber">
    <w:name w:val="page number"/>
    <w:basedOn w:val="DefaultParagraphFont"/>
  </w:style>
  <w:style w:type="character" w:customStyle="1" w:styleId="FooterChar">
    <w:name w:val="Footer Char"/>
    <w:qFormat/>
    <w:rPr>
      <w:sz w:val="28"/>
      <w:szCs w:val="28"/>
      <w:lang w:val="en-US" w:eastAsia="en-US" w:bidi="ar-SA"/>
    </w:rPr>
  </w:style>
  <w:style w:type="character" w:customStyle="1" w:styleId="Heading6Char">
    <w:name w:val="Heading 6 Char"/>
    <w:qFormat/>
    <w:rPr>
      <w:rFonts w:ascii="Calibri" w:eastAsia="Times New Roman" w:hAnsi="Calibri" w:cs="Cordia New"/>
      <w:b/>
      <w:bCs/>
      <w:sz w:val="22"/>
      <w:szCs w:val="22"/>
      <w:lang w:val="en-US" w:eastAsia="en-US" w:bidi="ar-SA"/>
    </w:rPr>
  </w:style>
  <w:style w:type="character" w:customStyle="1" w:styleId="Heading4Char">
    <w:name w:val="Heading 4 Char"/>
    <w:qFormat/>
    <w:rPr>
      <w:rFonts w:ascii="Calibri" w:eastAsia="Times New Roman" w:hAnsi="Calibri" w:cs="Cordia New"/>
      <w:b/>
      <w:bCs/>
      <w:sz w:val="28"/>
      <w:szCs w:val="28"/>
      <w:lang w:val="en-US" w:eastAsia="en-US" w:bidi="ar-SA"/>
    </w:rPr>
  </w:style>
  <w:style w:type="character" w:customStyle="1" w:styleId="BodyTextIndent3Char">
    <w:name w:val="Body Text Indent 3 Char"/>
    <w:qFormat/>
    <w:rPr>
      <w:sz w:val="16"/>
      <w:szCs w:val="16"/>
      <w:lang w:val="en-US" w:eastAsia="en-US" w:bidi="ar-SA"/>
    </w:rPr>
  </w:style>
  <w:style w:type="character" w:customStyle="1" w:styleId="HeaderChar">
    <w:name w:val="Header Char"/>
    <w:qFormat/>
    <w:rPr>
      <w:sz w:val="28"/>
      <w:szCs w:val="28"/>
      <w:lang w:val="en-US" w:eastAsia="en-US" w:bidi="ar-SA"/>
    </w:rPr>
  </w:style>
  <w:style w:type="character" w:styleId="CommentReference">
    <w:name w:val="annotation reference"/>
    <w:qFormat/>
    <w:rPr>
      <w:sz w:val="16"/>
      <w:szCs w:val="16"/>
    </w:rPr>
  </w:style>
  <w:style w:type="character" w:customStyle="1" w:styleId="CommentTextChar">
    <w:name w:val="Comment Text Char"/>
    <w:qFormat/>
    <w:rPr>
      <w:lang w:val="en-US" w:eastAsia="en-US"/>
    </w:rPr>
  </w:style>
  <w:style w:type="character" w:styleId="Emphasis">
    <w:name w:val="Emphasis"/>
    <w:qFormat/>
    <w:rPr>
      <w:i/>
      <w:iCs/>
    </w:rPr>
  </w:style>
  <w:style w:type="character" w:customStyle="1" w:styleId="CommentSubjectChar">
    <w:name w:val="Comment Subject Char"/>
    <w:qFormat/>
    <w:rPr>
      <w:b/>
      <w:bCs/>
      <w:lang w:val="en-GB" w:eastAsia="en-US" w:bidi="ar-SA"/>
    </w:rPr>
  </w:style>
  <w:style w:type="character" w:styleId="Hyperlink">
    <w:name w:val="Hyper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rFonts w:cs="Cordia New"/>
      <w:b/>
      <w:bCs/>
      <w:sz w:val="32"/>
      <w:szCs w:val="32"/>
      <w:lang w:bidi="th-TH"/>
    </w:rPr>
  </w:style>
  <w:style w:type="paragraph" w:styleId="BodyText">
    <w:name w:val="Body Text"/>
    <w:basedOn w:val="Normal"/>
    <w:rPr>
      <w:rFonts w:ascii="CordiaUPC" w:hAnsi="CordiaUPC" w:cs="CordiaUPC"/>
      <w:color w:val="000000"/>
      <w:lang w:bidi="th-TH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lang w:bidi="th-TH"/>
    </w:rPr>
  </w:style>
  <w:style w:type="paragraph" w:styleId="Footer">
    <w:name w:val="footer"/>
    <w:basedOn w:val="Normal"/>
    <w:pPr>
      <w:tabs>
        <w:tab w:val="center" w:pos="4153"/>
        <w:tab w:val="right" w:pos="8306"/>
      </w:tabs>
    </w:pPr>
    <w:rPr>
      <w:lang w:bidi="th-TH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ing2body1">
    <w:name w:val="Heading 2 body 1"/>
    <w:basedOn w:val="Heading2"/>
    <w:qFormat/>
    <w:pPr>
      <w:numPr>
        <w:ilvl w:val="0"/>
        <w:numId w:val="0"/>
      </w:numPr>
      <w:tabs>
        <w:tab w:val="left" w:pos="4860"/>
      </w:tabs>
      <w:ind w:left="1627"/>
      <w:outlineLvl w:val="9"/>
    </w:pPr>
    <w:rPr>
      <w:rFonts w:ascii="AngsanaUPC" w:hAnsi="AngsanaUPC" w:cs="AngsanaUPC"/>
      <w:b w:val="0"/>
      <w:bCs w:val="0"/>
      <w:sz w:val="36"/>
      <w:szCs w:val="36"/>
    </w:rPr>
  </w:style>
  <w:style w:type="paragraph" w:styleId="BodyTextIndent2">
    <w:name w:val="Body Text Indent 2"/>
    <w:basedOn w:val="Normal"/>
    <w:qFormat/>
    <w:pPr>
      <w:spacing w:after="120" w:line="480" w:lineRule="auto"/>
      <w:ind w:left="283"/>
    </w:pPr>
    <w:rPr>
      <w:rFonts w:cs="Cordia New"/>
      <w:szCs w:val="32"/>
    </w:rPr>
  </w:style>
  <w:style w:type="paragraph" w:customStyle="1" w:styleId="bodytext1">
    <w:name w:val="bodytext1"/>
    <w:basedOn w:val="BodyTextIndent2"/>
    <w:qFormat/>
    <w:pPr>
      <w:tabs>
        <w:tab w:val="left" w:pos="1260"/>
      </w:tabs>
      <w:spacing w:after="0" w:line="240" w:lineRule="auto"/>
      <w:ind w:left="540" w:firstLine="720"/>
    </w:pPr>
    <w:rPr>
      <w:rFonts w:cs="Angsana New"/>
      <w:sz w:val="32"/>
      <w:lang w:eastAsia="ja-JP" w:bidi="th-TH"/>
    </w:rPr>
  </w:style>
  <w:style w:type="paragraph" w:styleId="BodyTextIndent">
    <w:name w:val="Body Text Indent"/>
    <w:basedOn w:val="Normal"/>
    <w:pPr>
      <w:spacing w:after="120"/>
      <w:ind w:left="360"/>
    </w:pPr>
    <w:rPr>
      <w:rFonts w:cs="Cordia New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  <w:rPr>
      <w:szCs w:val="20"/>
    </w:rPr>
  </w:style>
  <w:style w:type="paragraph" w:styleId="BodyTextIndent3">
    <w:name w:val="Body Text Indent 3"/>
    <w:basedOn w:val="Normal"/>
    <w:qFormat/>
    <w:pPr>
      <w:spacing w:after="120"/>
      <w:ind w:left="283"/>
    </w:pPr>
    <w:rPr>
      <w:sz w:val="16"/>
      <w:szCs w:val="16"/>
    </w:rPr>
  </w:style>
  <w:style w:type="paragraph" w:customStyle="1" w:styleId="Default">
    <w:name w:val="Default"/>
    <w:qFormat/>
    <w:pPr>
      <w:autoSpaceDE w:val="0"/>
    </w:pPr>
    <w:rPr>
      <w:rFonts w:ascii="Arial" w:eastAsia="Cordia New" w:hAnsi="Arial" w:cs="Arial"/>
      <w:color w:val="000000"/>
      <w:lang w:bidi="ar-SA"/>
    </w:rPr>
  </w:style>
  <w:style w:type="paragraph" w:styleId="CommentText">
    <w:name w:val="annotation text"/>
    <w:basedOn w:val="Normal"/>
    <w:qFormat/>
    <w:rPr>
      <w:sz w:val="20"/>
      <w:szCs w:val="20"/>
    </w:rPr>
  </w:style>
  <w:style w:type="paragraph" w:customStyle="1" w:styleId="X1xf">
    <w:name w:val="X_1xf"/>
    <w:basedOn w:val="Normal"/>
    <w:qFormat/>
    <w:pPr>
      <w:numPr>
        <w:numId w:val="2"/>
      </w:numPr>
      <w:jc w:val="both"/>
    </w:pPr>
    <w:rPr>
      <w:rFonts w:ascii="TH Sarabun New" w:eastAsia="TH Sarabun New" w:hAnsi="TH Sarabun New" w:cs="TH Sarabun New"/>
      <w:b/>
      <w:bCs/>
      <w:sz w:val="30"/>
      <w:szCs w:val="30"/>
      <w:lang w:eastAsia="en-US"/>
    </w:rPr>
  </w:style>
  <w:style w:type="paragraph" w:customStyle="1" w:styleId="X1xl">
    <w:name w:val="X_1xl"/>
    <w:basedOn w:val="Normal"/>
    <w:qFormat/>
    <w:pPr>
      <w:tabs>
        <w:tab w:val="num" w:pos="0"/>
      </w:tabs>
      <w:ind w:left="425" w:hanging="425"/>
      <w:jc w:val="both"/>
    </w:pPr>
    <w:rPr>
      <w:rFonts w:ascii="TH Sarabun New" w:eastAsia="TH Sarabun New" w:hAnsi="TH Sarabun New" w:cs="TH Sarabun New"/>
      <w:b/>
      <w:bCs/>
      <w:sz w:val="30"/>
      <w:szCs w:val="30"/>
      <w:lang w:bidi="th-TH"/>
    </w:rPr>
  </w:style>
  <w:style w:type="paragraph" w:customStyle="1" w:styleId="X1">
    <w:name w:val="X_1"/>
    <w:basedOn w:val="Normal"/>
    <w:qFormat/>
    <w:pPr>
      <w:tabs>
        <w:tab w:val="num" w:pos="0"/>
      </w:tabs>
      <w:ind w:left="425" w:hanging="425"/>
    </w:pPr>
    <w:rPr>
      <w:rFonts w:ascii="TH Sarabun New" w:eastAsia="TH Sarabun New" w:hAnsi="TH Sarabun New" w:cs="TH Sarabun New"/>
      <w:b/>
      <w:bCs/>
      <w:sz w:val="30"/>
      <w:szCs w:val="30"/>
      <w:lang w:eastAsia="en-US"/>
    </w:rPr>
  </w:style>
  <w:style w:type="paragraph" w:customStyle="1" w:styleId="X1x1">
    <w:name w:val="X_1x.1"/>
    <w:basedOn w:val="Normal"/>
    <w:qFormat/>
    <w:pPr>
      <w:tabs>
        <w:tab w:val="num" w:pos="0"/>
      </w:tabs>
      <w:ind w:left="425" w:hanging="425"/>
      <w:jc w:val="both"/>
    </w:pPr>
    <w:rPr>
      <w:rFonts w:ascii="TH Sarabun New" w:eastAsia="TH Sarabun New" w:hAnsi="TH Sarabun New" w:cs="TH Sarabun New"/>
      <w:sz w:val="30"/>
      <w:szCs w:val="30"/>
      <w:lang w:eastAsia="en-US" w:bidi="th-TH"/>
    </w:rPr>
  </w:style>
  <w:style w:type="paragraph" w:customStyle="1" w:styleId="X1x11">
    <w:name w:val="X_1x.1.1"/>
    <w:basedOn w:val="Normal"/>
    <w:qFormat/>
    <w:pPr>
      <w:tabs>
        <w:tab w:val="num" w:pos="0"/>
      </w:tabs>
      <w:ind w:left="425" w:hanging="425"/>
      <w:jc w:val="both"/>
    </w:pPr>
    <w:rPr>
      <w:rFonts w:ascii="TH Sarabun New" w:eastAsia="TH Sarabun New" w:hAnsi="TH Sarabun New" w:cs="TH Sarabun New"/>
      <w:sz w:val="30"/>
      <w:szCs w:val="30"/>
      <w:lang w:bidi="th-TH"/>
    </w:rPr>
  </w:style>
  <w:style w:type="paragraph" w:customStyle="1" w:styleId="X">
    <w:name w:val="X"/>
    <w:basedOn w:val="Normal"/>
    <w:qFormat/>
    <w:pPr>
      <w:tabs>
        <w:tab w:val="num" w:pos="0"/>
      </w:tabs>
      <w:ind w:left="425" w:hanging="425"/>
      <w:jc w:val="both"/>
    </w:pPr>
    <w:rPr>
      <w:rFonts w:ascii="TH Sarabun New" w:eastAsia="TH Sarabun New" w:hAnsi="TH Sarabun New" w:cs="TH Sarabun New"/>
      <w:b/>
      <w:bCs/>
      <w:sz w:val="30"/>
      <w:szCs w:val="30"/>
      <w:u w:val="single"/>
      <w:lang w:eastAsia="en-US"/>
    </w:rPr>
  </w:style>
  <w:style w:type="paragraph" w:customStyle="1" w:styleId="X1x111">
    <w:name w:val="X_1x.1.1.1"/>
    <w:basedOn w:val="Normal"/>
    <w:qFormat/>
    <w:pPr>
      <w:tabs>
        <w:tab w:val="num" w:pos="0"/>
      </w:tabs>
      <w:ind w:left="425" w:hanging="425"/>
      <w:jc w:val="both"/>
    </w:pPr>
    <w:rPr>
      <w:rFonts w:ascii="TH Sarabun New" w:eastAsia="TH Sarabun New" w:hAnsi="TH Sarabun New" w:cs="TH Sarabun New"/>
      <w:sz w:val="30"/>
      <w:szCs w:val="30"/>
      <w:lang w:bidi="th-TH"/>
    </w:rPr>
  </w:style>
  <w:style w:type="paragraph" w:customStyle="1" w:styleId="X1x1111">
    <w:name w:val="X_1x.1.1.1.1"/>
    <w:basedOn w:val="X1x111"/>
    <w:qFormat/>
  </w:style>
  <w:style w:type="paragraph" w:customStyle="1" w:styleId="X1x111bullet">
    <w:name w:val="X_1x.1.1.1bullet"/>
    <w:basedOn w:val="Normal"/>
    <w:qFormat/>
    <w:pPr>
      <w:ind w:left="2977" w:hanging="283"/>
    </w:pPr>
    <w:rPr>
      <w:rFonts w:ascii="TH Sarabun New" w:eastAsia="TH Sarabun New" w:hAnsi="TH Sarabun New" w:cs="TH Sarabun New"/>
      <w:sz w:val="30"/>
      <w:szCs w:val="30"/>
      <w:lang w:bidi="th-TH"/>
    </w:rPr>
  </w:style>
  <w:style w:type="paragraph" w:customStyle="1" w:styleId="Number1">
    <w:name w:val="Number_1"/>
    <w:basedOn w:val="Normal"/>
    <w:qFormat/>
    <w:pPr>
      <w:numPr>
        <w:numId w:val="3"/>
      </w:numPr>
      <w:spacing w:before="240"/>
    </w:pPr>
    <w:rPr>
      <w:rFonts w:ascii="TH SarabunPSK" w:eastAsia="TH SarabunPSK" w:hAnsi="TH SarabunPSK" w:cs="TH SarabunPSK"/>
      <w:b/>
      <w:bCs/>
      <w:sz w:val="30"/>
      <w:szCs w:val="30"/>
      <w:lang w:bidi="th-TH"/>
    </w:rPr>
  </w:style>
  <w:style w:type="paragraph" w:customStyle="1" w:styleId="Number11">
    <w:name w:val="Number_1.1"/>
    <w:basedOn w:val="Normal"/>
    <w:qFormat/>
    <w:pPr>
      <w:tabs>
        <w:tab w:val="num" w:pos="0"/>
      </w:tabs>
      <w:spacing w:before="120" w:after="120"/>
      <w:ind w:left="360" w:hanging="360"/>
    </w:pPr>
    <w:rPr>
      <w:rFonts w:ascii="TH SarabunPSK" w:eastAsia="TH SarabunPSK" w:hAnsi="TH SarabunPSK" w:cs="TH SarabunPSK"/>
      <w:sz w:val="30"/>
      <w:szCs w:val="30"/>
      <w:lang w:bidi="th-TH"/>
    </w:rPr>
  </w:style>
  <w:style w:type="paragraph" w:customStyle="1" w:styleId="Number111">
    <w:name w:val="Number_1.1.1"/>
    <w:basedOn w:val="Normal"/>
    <w:qFormat/>
    <w:pPr>
      <w:tabs>
        <w:tab w:val="num" w:pos="0"/>
      </w:tabs>
      <w:ind w:left="360" w:hanging="360"/>
    </w:pPr>
    <w:rPr>
      <w:rFonts w:ascii="TH SarabunPSK" w:eastAsia="TH SarabunPSK" w:hAnsi="TH SarabunPSK" w:cs="TH SarabunPSK"/>
      <w:sz w:val="30"/>
      <w:szCs w:val="30"/>
      <w:lang w:bidi="th-TH"/>
    </w:rPr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Phusit Wiriyaajchara</dc:creator>
  <cp:lastModifiedBy>Phusit Wiriyaajchara</cp:lastModifiedBy>
  <cp:revision>2</cp:revision>
  <dcterms:created xsi:type="dcterms:W3CDTF">2026-10-28T04:07:00Z</dcterms:created>
  <dcterms:modified xsi:type="dcterms:W3CDTF">2026-10-28T04:07:00Z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2026-08-25T13:43:00Z</dcterms:created>
  <dc:creator>Vudhipong J</dc:creator>
  <dc:description/>
  <cp:keywords>Compliance statement PME</cp:keywords>
  <dc:language>en-US</dc:language>
  <cp:lastModifiedBy>Apisit Tawaka</cp:lastModifiedBy>
  <cp:lastPrinted>2026-08-26T18:12:00Z</cp:lastPrinted>
  <dcterms:modified xsi:type="dcterms:W3CDTF">2026-08-26T18:34:00Z</dcterms:modified>
  <cp:revision>13</cp:revision>
  <dc:subject>Compliance statement</dc:subject>
  <dc:title>PME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5023cc19-6bac-4537-825b-fc60d1752ccd</vt:lpwstr>
  </property>
</Properties>
</file>