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87A00">
      <w:pPr>
        <w:pStyle w:val="2"/>
      </w:pPr>
      <w:r>
        <w:t>大学化学Wiki文档（第三章 溶液）</w:t>
      </w:r>
    </w:p>
    <w:p w14:paraId="38315ED6">
      <w:pPr>
        <w:pStyle w:val="3"/>
      </w:pPr>
      <w:r>
        <w:t>3.1 稀溶液的通性</w:t>
      </w:r>
    </w:p>
    <w:p w14:paraId="0727E19B">
      <w:pPr>
        <w:pStyle w:val="4"/>
      </w:pPr>
      <w:r>
        <w:t>3.1.4 溶液的渗透压</w:t>
      </w:r>
    </w:p>
    <w:p w14:paraId="51FBA59D">
      <w:r>
        <w:rPr>
          <w:b/>
        </w:rPr>
        <w:t>【核心定义】</w:t>
      </w:r>
    </w:p>
    <w:p w14:paraId="3D321C85">
      <w:r>
        <w:t>渗透压是指为阻止溶剂通过半透膜向溶液一侧渗透，需要在溶液一侧施加的额外压力。</w:t>
      </w:r>
    </w:p>
    <w:p w14:paraId="7BA95340">
      <w:r>
        <w:rPr>
          <w:b/>
        </w:rPr>
        <w:t>【关键公式】</w:t>
      </w:r>
    </w:p>
    <w:p w14:paraId="309BDD4D">
      <w:r>
        <w:t>Π = cRT</w:t>
      </w:r>
    </w:p>
    <w:p w14:paraId="79F7311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Π：渗透压（Pa）</w:t>
      </w:r>
    </w:p>
    <w:p w14:paraId="6E20410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c：溶质的物质的量浓度（mol/L）</w:t>
      </w:r>
    </w:p>
    <w:p w14:paraId="411515EF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R：气体常数（8.314 J/(mol·K)）</w:t>
      </w:r>
    </w:p>
    <w:p w14:paraId="3D50185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T：热力学温度（K）</w:t>
      </w:r>
    </w:p>
    <w:p w14:paraId="6A756700">
      <w:pPr>
        <w:spacing w:before="0" w:beforeAutospacing="1" w:after="0" w:afterAutospacing="1"/>
        <w:ind w:left="720"/>
      </w:pPr>
      <w:r>
        <w:rPr>
          <w:b/>
        </w:rPr>
        <w:t>【应用与考点】</w:t>
      </w:r>
    </w:p>
    <w:p w14:paraId="7A4A37B7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渗透压只与溶质粒子的浓度有关，与溶质种类无关，属于稀溶液的依数性。</w:t>
      </w:r>
    </w:p>
    <w:p w14:paraId="36CBDA1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常用于测定高分子化合物的摩尔质量，以及解释反渗透、植物吸水、细胞失水等现象。</w:t>
      </w:r>
    </w:p>
    <w:p w14:paraId="30051A5B">
      <w:pPr>
        <w:pStyle w:val="3"/>
      </w:pPr>
      <w:r>
        <w:t>3.2 溶液中单相离子平衡</w:t>
      </w:r>
    </w:p>
    <w:p w14:paraId="25522C93">
      <w:pPr>
        <w:pStyle w:val="4"/>
      </w:pPr>
      <w:r>
        <w:t>3.2.1 弱电解质的解离平衡</w:t>
      </w:r>
    </w:p>
    <w:p w14:paraId="28781D24">
      <w:r>
        <w:rPr>
          <w:b/>
        </w:rPr>
        <w:t>【核心定义】</w:t>
      </w:r>
    </w:p>
    <w:p w14:paraId="41215AB2">
      <w:r>
        <w:t>弱电解质在水溶液中只能部分解离成离子，存在解离平衡，其解离程度用电离度α或解离常数K表示。</w:t>
      </w:r>
    </w:p>
    <w:p w14:paraId="4C3CBA69">
      <w:r>
        <w:rPr>
          <w:b/>
        </w:rPr>
        <w:t>【关键公式】</w:t>
      </w:r>
    </w:p>
    <w:p w14:paraId="4247E476">
      <w:r>
        <w:t>对于一元弱酸 HA ⇌ H⁺ + A⁻：</w:t>
      </w:r>
    </w:p>
    <w:p w14:paraId="5E39818F">
      <w:r>
        <w:t>Ka = [H⁺][A⁻] / [HA]</w:t>
      </w:r>
    </w:p>
    <w:p w14:paraId="1CE384DE">
      <w:r>
        <w:rPr>
          <w:b/>
        </w:rPr>
        <w:t>【易错点】</w:t>
      </w:r>
    </w:p>
    <w:p w14:paraId="3B73ADE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稀释定律：弱电解质溶液越稀，电离度越大，但离子浓度不一定增大。</w:t>
      </w:r>
    </w:p>
    <w:p w14:paraId="203A867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解离常数只与温度有关，与浓度无关。</w:t>
      </w:r>
    </w:p>
    <w:p w14:paraId="6A746B89">
      <w:pPr>
        <w:pStyle w:val="4"/>
      </w:pPr>
      <w:r>
        <w:t>3.2.2 同离子效应和缓冲溶液</w:t>
      </w:r>
    </w:p>
    <w:p w14:paraId="2F0E8995">
      <w:r>
        <w:rPr>
          <w:b/>
        </w:rPr>
        <w:t>【同离子效应】</w:t>
      </w:r>
    </w:p>
    <w:p w14:paraId="2F092446">
      <w:r>
        <w:t>在弱电解质溶液中，加入与弱电解质具有相同离子的强电解质，会使弱电解质的解离平衡向生成弱电解质分子的方向移动，降低其电离度。</w:t>
      </w:r>
    </w:p>
    <w:p w14:paraId="3497C210">
      <w:r>
        <w:rPr>
          <w:b/>
        </w:rPr>
        <w:t>【缓冲溶液】</w:t>
      </w:r>
    </w:p>
    <w:p w14:paraId="3E42F436">
      <w:r>
        <w:t>由弱酸及其共轭碱（或弱碱及其共轭酸）组成的混合溶液，能抵抗少量外来酸碱或稀释，保持pH基本不变。</w:t>
      </w:r>
    </w:p>
    <w:p w14:paraId="661FF3CF">
      <w:r>
        <w:rPr>
          <w:b/>
        </w:rPr>
        <w:t>【关键公式】</w:t>
      </w:r>
    </w:p>
    <w:p w14:paraId="05EB4F1A">
      <w:r>
        <w:t>亨德森 - 哈塞尔巴尔赫方程：</w:t>
      </w:r>
    </w:p>
    <w:p w14:paraId="1F0406B6">
      <w:r>
        <w:t>pH = pKa + lg([共轭碱]/[共轭酸])</w:t>
      </w:r>
    </w:p>
    <w:p w14:paraId="21D7E62C">
      <w:r>
        <w:rPr>
          <w:b/>
        </w:rPr>
        <w:t>【考点】</w:t>
      </w:r>
    </w:p>
    <w:p w14:paraId="40BC9341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缓冲溶液的缓冲范围：pH = pKa ± 1</w:t>
      </w:r>
    </w:p>
    <w:p w14:paraId="660AA7B4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缓冲溶液的选择原则：弱酸的pKa接近所需pH，且缓冲对浓度较大。</w:t>
      </w:r>
    </w:p>
    <w:p w14:paraId="1ED13857">
      <w:pPr>
        <w:pStyle w:val="4"/>
      </w:pPr>
      <w:r>
        <w:t>3.2.3 配位平衡</w:t>
      </w:r>
    </w:p>
    <w:p w14:paraId="2F470056">
      <w:r>
        <w:rPr>
          <w:b/>
        </w:rPr>
        <w:t>【核心定义】</w:t>
      </w:r>
    </w:p>
    <w:p w14:paraId="5AF5D350">
      <w:r>
        <w:t>配合物在水溶液中分步解离，存在配位平衡，其稳定常数Kf表示配合物的稳定性。</w:t>
      </w:r>
    </w:p>
    <w:p w14:paraId="56CA179A">
      <w:r>
        <w:rPr>
          <w:b/>
        </w:rPr>
        <w:t>【关键公式】</w:t>
      </w:r>
    </w:p>
    <w:p w14:paraId="376E990E">
      <w:r>
        <w:t>对于配合物 MLn ⇌ Mⁿ⁺ + nL⁻：</w:t>
      </w:r>
    </w:p>
    <w:p w14:paraId="30AB8BFC">
      <w:r>
        <w:t>Kf = [MLn] / ([Mⁿ⁺][L⁻]ⁿ)</w:t>
      </w:r>
    </w:p>
    <w:p w14:paraId="5364C047">
      <w:r>
        <w:rPr>
          <w:b/>
        </w:rPr>
        <w:t>【应用】</w:t>
      </w:r>
    </w:p>
    <w:p w14:paraId="2AC5B96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利用配位平衡解释沉淀溶解、离子分离、电镀、配位滴定等现象。</w:t>
      </w:r>
    </w:p>
    <w:p w14:paraId="12F822FC">
      <w:pPr>
        <w:pStyle w:val="3"/>
      </w:pPr>
      <w:bookmarkStart w:id="0" w:name="_GoBack"/>
      <w:r>
        <w:t>3.3 酸碱理论</w:t>
      </w:r>
    </w:p>
    <w:p w14:paraId="431BBB45">
      <w:pPr>
        <w:pStyle w:val="4"/>
      </w:pPr>
      <w:r>
        <w:t>3.3.1 酸碱质子理论</w:t>
      </w:r>
    </w:p>
    <w:bookmarkEnd w:id="0"/>
    <w:p w14:paraId="58331C1F">
      <w:r>
        <w:rPr>
          <w:b/>
        </w:rPr>
        <w:t>【核心定义】</w:t>
      </w:r>
    </w:p>
    <w:p w14:paraId="36EF0F0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酸：能给出质子（H⁺）的物质（质子供体）</w:t>
      </w:r>
    </w:p>
    <w:p w14:paraId="368AE14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碱：能接受质子（H⁺）的物质（质子受体）</w:t>
      </w:r>
    </w:p>
    <w:p w14:paraId="7246C35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两性物质：既能给出又能接受质子的物质（如H₂O、HCO₃⁻）</w:t>
      </w:r>
    </w:p>
    <w:p w14:paraId="6FCF5425">
      <w:pPr>
        <w:spacing w:before="0" w:beforeAutospacing="1" w:after="0" w:afterAutospacing="1"/>
        <w:ind w:left="720"/>
      </w:pPr>
      <w:r>
        <w:rPr>
          <w:b/>
        </w:rPr>
        <w:t>【共轭酸碱对】</w:t>
      </w:r>
    </w:p>
    <w:p w14:paraId="0F1782F0">
      <w:pPr>
        <w:spacing w:before="0" w:beforeAutospacing="1" w:after="0" w:afterAutospacing="1"/>
        <w:ind w:left="720"/>
      </w:pPr>
      <w:r>
        <w:t>酸给出质子后形成共轭碱，碱接受质子后形成共轭酸，如：HAc ⇌ H⁺ + Ac⁻（HAc是酸，Ac⁻是其共轭碱）。</w:t>
      </w:r>
    </w:p>
    <w:p w14:paraId="4512F40B">
      <w:pPr>
        <w:pStyle w:val="4"/>
      </w:pPr>
      <w:r>
        <w:t>3.3.2 酸碱反应</w:t>
      </w:r>
    </w:p>
    <w:p w14:paraId="546A7458">
      <w:r>
        <w:rPr>
          <w:b/>
        </w:rPr>
        <w:t>【本质】</w:t>
      </w:r>
    </w:p>
    <w:p w14:paraId="334D8772">
      <w:r>
        <w:t>酸碱反应的本质是质子的转移，反应方向是强酸与强碱反应，生成更弱的酸和更弱的碱。</w:t>
      </w:r>
    </w:p>
    <w:p w14:paraId="47D59EF5">
      <w:r>
        <w:rPr>
          <w:b/>
        </w:rPr>
        <w:t>【考点】</w:t>
      </w:r>
    </w:p>
    <w:p w14:paraId="79B366E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比较不同酸的酸性强弱，判断反应方向。</w:t>
      </w:r>
    </w:p>
    <w:p w14:paraId="087DB93D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利用酸碱质子理论解释盐类水解反应。</w:t>
      </w:r>
    </w:p>
    <w:p w14:paraId="19949E3F">
      <w:pPr>
        <w:pStyle w:val="3"/>
      </w:pPr>
      <w:r>
        <w:t>3.4 溶液中多相离子平衡</w:t>
      </w:r>
    </w:p>
    <w:p w14:paraId="479F82EE">
      <w:pPr>
        <w:pStyle w:val="4"/>
      </w:pPr>
      <w:r>
        <w:t>3.4.1 难溶电解质的溶度积</w:t>
      </w:r>
    </w:p>
    <w:p w14:paraId="6C279A2E">
      <w:r>
        <w:rPr>
          <w:b/>
        </w:rPr>
        <w:t>【核心定义】</w:t>
      </w:r>
    </w:p>
    <w:p w14:paraId="6F6B8F33">
      <w:r>
        <w:t>难溶电解质的饱和溶液中，离子浓度幂的乘积为溶度积常数Ksp，只与温度有关。</w:t>
      </w:r>
    </w:p>
    <w:p w14:paraId="171CF183">
      <w:r>
        <w:rPr>
          <w:b/>
        </w:rPr>
        <w:t>【关键公式】</w:t>
      </w:r>
    </w:p>
    <w:p w14:paraId="0C87FD04">
      <w:r>
        <w:t>对于难溶电解质 AmBn(s) ⇌ mAⁿ⁺(aq) + nBᵐ⁻(aq)：</w:t>
      </w:r>
    </w:p>
    <w:p w14:paraId="7F1DD7A9">
      <w:r>
        <w:t>Ksp = [Aⁿ⁺]ᵐ [Bᵐ⁻]ⁿ</w:t>
      </w:r>
    </w:p>
    <w:p w14:paraId="4CC65EB3">
      <w:pPr>
        <w:pStyle w:val="4"/>
      </w:pPr>
      <w:r>
        <w:t>3.4.2 溶度积和溶解度</w:t>
      </w:r>
    </w:p>
    <w:p w14:paraId="773CDF4D">
      <w:r>
        <w:rPr>
          <w:b/>
        </w:rPr>
        <w:t>【关系】</w:t>
      </w:r>
    </w:p>
    <w:p w14:paraId="4A39345F">
      <w:r>
        <w:t>溶度积和溶解度都表示难溶电解质的溶解能力，可相互换算。</w:t>
      </w:r>
    </w:p>
    <w:p w14:paraId="22840CC6">
      <w:r>
        <w:rPr>
          <w:b/>
        </w:rPr>
        <w:t>【易错点】</w:t>
      </w:r>
    </w:p>
    <w:p w14:paraId="6BF94F5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只有同类型的难溶电解质（如AB型、AB₂型），才能直接通过Ksp比较溶解度大小。</w:t>
      </w:r>
    </w:p>
    <w:p w14:paraId="291338A9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不同类型的难溶电解质，必须通过计算溶解度才能比较。</w:t>
      </w:r>
    </w:p>
    <w:p w14:paraId="59BA083B">
      <w:pPr>
        <w:pStyle w:val="4"/>
      </w:pPr>
      <w:r>
        <w:t>3.4.3 溶度积规则及其应用</w:t>
      </w:r>
    </w:p>
    <w:p w14:paraId="19E1E89F">
      <w:r>
        <w:rPr>
          <w:b/>
        </w:rPr>
        <w:t>【核心规则】</w:t>
      </w:r>
    </w:p>
    <w:p w14:paraId="32FCC99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离子积Q &gt; Ksp：溶液过饱和，有沉淀析出</w:t>
      </w:r>
    </w:p>
    <w:p w14:paraId="292C447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离子积Q = Ksp：溶液饱和，处于平衡状态</w:t>
      </w:r>
    </w:p>
    <w:p w14:paraId="177C94CA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离子积Q &lt; Ksp：溶液未饱和，无沉淀析出</w:t>
      </w:r>
    </w:p>
    <w:p w14:paraId="45502904">
      <w:pPr>
        <w:spacing w:before="0" w:beforeAutospacing="1" w:after="0" w:afterAutospacing="1"/>
        <w:ind w:left="720"/>
      </w:pPr>
      <w:r>
        <w:rPr>
          <w:b/>
        </w:rPr>
        <w:t>【应用】</w:t>
      </w:r>
    </w:p>
    <w:p w14:paraId="44FF91A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判断沉淀的生成与溶解、分步沉淀、沉淀转化。</w:t>
      </w:r>
    </w:p>
    <w:p w14:paraId="212C4608">
      <w:pPr>
        <w:pStyle w:val="4"/>
      </w:pPr>
      <w:r>
        <w:t>3.4.4 多相离子平衡移动</w:t>
      </w:r>
    </w:p>
    <w:p w14:paraId="3BC9D28E">
      <w:r>
        <w:rPr>
          <w:b/>
        </w:rPr>
        <w:t>【影响因素】</w:t>
      </w:r>
    </w:p>
    <w:p w14:paraId="35B1282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同离子效应：加入含相同离子的强电解质，使难溶电解质溶解度降低。</w:t>
      </w:r>
    </w:p>
    <w:p w14:paraId="0AEEB2DF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盐效应：加入不含相同离子的强电解质，使难溶电解质溶解度增大。</w:t>
      </w:r>
    </w:p>
    <w:p w14:paraId="07BCA67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酸效应：溶液酸度变化影响沉淀的溶解（如碳酸盐、硫化物沉淀溶于酸）。</w:t>
      </w:r>
    </w:p>
    <w:p w14:paraId="0E7B4FE1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配位效应：加入配位剂，使金属离子形成配合物，促进沉淀溶解。</w:t>
      </w:r>
    </w:p>
    <w:p w14:paraId="2F003A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2D436"/>
    <w:multiLevelType w:val="singleLevel"/>
    <w:tmpl w:val="84D2D4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DB3828A"/>
    <w:multiLevelType w:val="singleLevel"/>
    <w:tmpl w:val="8DB382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F40A502"/>
    <w:multiLevelType w:val="singleLevel"/>
    <w:tmpl w:val="9F40A5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E66D4D0"/>
    <w:multiLevelType w:val="singleLevel"/>
    <w:tmpl w:val="AE66D4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D2D7FEC"/>
    <w:multiLevelType w:val="singleLevel"/>
    <w:tmpl w:val="ED2D7F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3666524B"/>
    <w:multiLevelType w:val="singleLevel"/>
    <w:tmpl w:val="366652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403EC5AC"/>
    <w:multiLevelType w:val="singleLevel"/>
    <w:tmpl w:val="403EC5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5005A208"/>
    <w:multiLevelType w:val="singleLevel"/>
    <w:tmpl w:val="5005A2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7CD2C3E4"/>
    <w:multiLevelType w:val="singleLevel"/>
    <w:tmpl w:val="7CD2C3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6F6951"/>
    <w:rsid w:val="6E04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2026-05-20T09:58:20Z</dcterms:created>
  <dc:creator>Phuwin</dc:creator>
  <cp:lastModifiedBy>罗曼</cp:lastModifiedBy>
  <dcterms:modified xsi:type="dcterms:W3CDTF">2026-05-20T09:59:35Z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eyJoZGlkIjoiNjdmMGU3NzZiNjlkMDlhZjUwZmZhZWRlOGE5Mzg0NjkiLCJ1c2VySWQiOiIxNzMzMDQ3ODY3In0=</vt:lpwstr>
  </property>
  <property fmtid="{D5CDD505-2E9C-101B-9397-08002B2CF9AE}" pid="4" name="ICV">
    <vt:lpwstr>B10BC690F004431CA2B29D24E336280C_13</vt:lpwstr>
  </property>
</Properties>
</file>