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582E" w14:textId="77777777" w:rsidR="00964AB3" w:rsidRPr="00964AB3" w:rsidRDefault="00964AB3" w:rsidP="00964AB3">
      <w:pPr>
        <w:rPr>
          <w:rFonts w:ascii="Cambria" w:hAnsi="Cambria"/>
          <w:b/>
          <w:bCs/>
          <w:lang w:val="en-ZA"/>
        </w:rPr>
      </w:pPr>
      <w:r w:rsidRPr="00964AB3">
        <w:rPr>
          <w:rFonts w:ascii="Cambria" w:hAnsi="Cambria"/>
          <w:b/>
          <w:bCs/>
          <w:lang w:val="en-ZA"/>
        </w:rPr>
        <w:t>Overview of Visual Inspection with Acetic Acid (VIA)</w:t>
      </w:r>
    </w:p>
    <w:p w14:paraId="1042A971" w14:textId="77777777" w:rsidR="00964AB3" w:rsidRPr="00964AB3" w:rsidRDefault="00964AB3" w:rsidP="00964AB3">
      <w:pPr>
        <w:rPr>
          <w:rFonts w:ascii="Cambria" w:hAnsi="Cambria"/>
          <w:lang w:val="en-ZA"/>
        </w:rPr>
      </w:pPr>
      <w:r w:rsidRPr="00964AB3">
        <w:rPr>
          <w:rFonts w:ascii="Cambria" w:hAnsi="Cambria"/>
          <w:lang w:val="en-ZA"/>
        </w:rPr>
        <w:t>Visual Inspection with Acetic Acid (VIA) is a cervical cancer screening method that has emerged as a viable alternative to cytology-based approaches in low-resource settings. The technique involves applying a dilute acetic acid solution (3–5%) to the cervix, which causes abnormal epithelium to turn white, facilitating the identification of precancerous lesions (</w:t>
      </w:r>
      <w:proofErr w:type="spellStart"/>
      <w:r w:rsidRPr="00964AB3">
        <w:rPr>
          <w:rFonts w:ascii="Cambria" w:hAnsi="Cambria"/>
          <w:lang w:val="en-ZA"/>
        </w:rPr>
        <w:t>Sankaranarayanan</w:t>
      </w:r>
      <w:proofErr w:type="spellEnd"/>
      <w:r w:rsidRPr="00964AB3">
        <w:rPr>
          <w:rFonts w:ascii="Cambria" w:hAnsi="Cambria"/>
          <w:lang w:val="en-ZA"/>
        </w:rPr>
        <w:t xml:space="preserve"> et al., 2003). This simple, inexpensive method is particularly relevant in regions where infrastructure and financial constraints make traditional screening methods, such as the Papanicolaou (Pap) test, impractical.</w:t>
      </w:r>
    </w:p>
    <w:p w14:paraId="686B0786" w14:textId="77777777" w:rsidR="00964AB3" w:rsidRPr="00964AB3" w:rsidRDefault="00964AB3" w:rsidP="00964AB3">
      <w:pPr>
        <w:rPr>
          <w:rFonts w:ascii="Cambria" w:hAnsi="Cambria"/>
          <w:b/>
          <w:bCs/>
          <w:lang w:val="en-ZA"/>
        </w:rPr>
      </w:pPr>
      <w:r w:rsidRPr="00964AB3">
        <w:rPr>
          <w:rFonts w:ascii="Cambria" w:hAnsi="Cambria"/>
          <w:b/>
          <w:bCs/>
          <w:lang w:val="en-ZA"/>
        </w:rPr>
        <w:t>Methodology and Effectiveness</w:t>
      </w:r>
    </w:p>
    <w:p w14:paraId="6D0C97B6" w14:textId="77777777" w:rsidR="00964AB3" w:rsidRPr="00964AB3" w:rsidRDefault="00964AB3" w:rsidP="00964AB3">
      <w:pPr>
        <w:rPr>
          <w:rFonts w:ascii="Cambria" w:hAnsi="Cambria"/>
          <w:lang w:val="en-ZA"/>
        </w:rPr>
      </w:pPr>
      <w:r w:rsidRPr="00964AB3">
        <w:rPr>
          <w:rFonts w:ascii="Cambria" w:hAnsi="Cambria"/>
          <w:lang w:val="en-ZA"/>
        </w:rPr>
        <w:t>The VIA screening process is straightforward and relies on minimal resources. A vaginal speculum is used to expose the cervix, after which acetic acid is applied. Visual inspection follows, with acetowhite changes suggesting abnormal tissue (World Health Organization [WHO], 2013). This simplicity enables health workers in resource-limited areas to perform the procedure with minimal training.</w:t>
      </w:r>
    </w:p>
    <w:p w14:paraId="172520DF" w14:textId="77777777" w:rsidR="00964AB3" w:rsidRPr="00964AB3" w:rsidRDefault="00964AB3" w:rsidP="00964AB3">
      <w:pPr>
        <w:rPr>
          <w:rFonts w:ascii="Cambria" w:hAnsi="Cambria"/>
          <w:lang w:val="en-ZA"/>
        </w:rPr>
      </w:pPr>
      <w:r w:rsidRPr="00964AB3">
        <w:rPr>
          <w:rFonts w:ascii="Cambria" w:hAnsi="Cambria"/>
          <w:lang w:val="en-ZA"/>
        </w:rPr>
        <w:t>Studies assessing VIA's performance metrics reveal variability in its diagnostic accuracy. For instance, one study reported a sensitivity of 85.29% and specificity of 68.75% when VIA was compared with colposcopy results, underscoring its potential as an effective screening tool in detecting cervical lesions (Joshi et al., 2015). However, other reviews highlight the method's limitations, such as lower specificity compared to cytology, which can lead to higher false-positive rates (Denny et al., 2005).</w:t>
      </w:r>
    </w:p>
    <w:p w14:paraId="066AD951" w14:textId="77777777" w:rsidR="00964AB3" w:rsidRPr="00964AB3" w:rsidRDefault="00964AB3" w:rsidP="00964AB3">
      <w:pPr>
        <w:rPr>
          <w:rFonts w:ascii="Cambria" w:hAnsi="Cambria"/>
          <w:lang w:val="en-ZA"/>
        </w:rPr>
      </w:pPr>
      <w:r w:rsidRPr="00964AB3">
        <w:rPr>
          <w:rFonts w:ascii="Cambria" w:hAnsi="Cambria"/>
          <w:lang w:val="en-ZA"/>
        </w:rPr>
        <w:t>Comparative studies further illustrate these challenges. For example, a population-based study in Nigeria found significant variability in VIA outcomes among health workers, with sensitivity rates ranging from 0% to 21% for suspected cancer cases (</w:t>
      </w:r>
      <w:proofErr w:type="spellStart"/>
      <w:r w:rsidRPr="00964AB3">
        <w:rPr>
          <w:rFonts w:ascii="Cambria" w:hAnsi="Cambria"/>
          <w:lang w:val="en-ZA"/>
        </w:rPr>
        <w:t>Adewole</w:t>
      </w:r>
      <w:proofErr w:type="spellEnd"/>
      <w:r w:rsidRPr="00964AB3">
        <w:rPr>
          <w:rFonts w:ascii="Cambria" w:hAnsi="Cambria"/>
          <w:lang w:val="en-ZA"/>
        </w:rPr>
        <w:t xml:space="preserve"> et al., 2005). This variability underscores the importance of standardized training and quality control in the implementation of VIA.</w:t>
      </w:r>
    </w:p>
    <w:p w14:paraId="4C1FA4C8" w14:textId="77777777" w:rsidR="00964AB3" w:rsidRPr="00964AB3" w:rsidRDefault="00964AB3" w:rsidP="00964AB3">
      <w:pPr>
        <w:rPr>
          <w:rFonts w:ascii="Cambria" w:hAnsi="Cambria"/>
          <w:b/>
          <w:bCs/>
          <w:lang w:val="en-ZA"/>
        </w:rPr>
      </w:pPr>
      <w:r w:rsidRPr="00964AB3">
        <w:rPr>
          <w:rFonts w:ascii="Cambria" w:hAnsi="Cambria"/>
          <w:b/>
          <w:bCs/>
          <w:lang w:val="en-ZA"/>
        </w:rPr>
        <w:t>Advantages and Limitations</w:t>
      </w:r>
    </w:p>
    <w:p w14:paraId="75017ADF" w14:textId="77777777" w:rsidR="00964AB3" w:rsidRPr="00964AB3" w:rsidRDefault="00964AB3" w:rsidP="00964AB3">
      <w:pPr>
        <w:rPr>
          <w:rFonts w:ascii="Cambria" w:hAnsi="Cambria"/>
          <w:lang w:val="en-ZA"/>
        </w:rPr>
      </w:pPr>
      <w:r w:rsidRPr="00964AB3">
        <w:rPr>
          <w:rFonts w:ascii="Cambria" w:hAnsi="Cambria"/>
          <w:lang w:val="en-ZA"/>
        </w:rPr>
        <w:t>One of VIA's primary advantages is its cost-effectiveness. The procedure requires minimal equipment and no laboratory facilities, making it accessible to underserved populations (</w:t>
      </w:r>
      <w:proofErr w:type="spellStart"/>
      <w:r w:rsidRPr="00964AB3">
        <w:rPr>
          <w:rFonts w:ascii="Cambria" w:hAnsi="Cambria"/>
          <w:lang w:val="en-ZA"/>
        </w:rPr>
        <w:t>Sankaranarayanan</w:t>
      </w:r>
      <w:proofErr w:type="spellEnd"/>
      <w:r w:rsidRPr="00964AB3">
        <w:rPr>
          <w:rFonts w:ascii="Cambria" w:hAnsi="Cambria"/>
          <w:lang w:val="en-ZA"/>
        </w:rPr>
        <w:t xml:space="preserve"> et al., 2001). Additionally, VIA provides immediate results, allowing healthcare providers to make on-the-spot management decisions, a crucial feature in settings where patients may not return for follow-up (WHO, 2013). Moreover, the method’s simplicity facilitates the training of non-specialist health workers, enabling widespread adoption in community-based programs (Goldie et al., 2005).</w:t>
      </w:r>
    </w:p>
    <w:p w14:paraId="54D3C4A2" w14:textId="77777777" w:rsidR="00964AB3" w:rsidRPr="00964AB3" w:rsidRDefault="00964AB3" w:rsidP="00964AB3">
      <w:pPr>
        <w:rPr>
          <w:rFonts w:ascii="Cambria" w:hAnsi="Cambria"/>
          <w:lang w:val="en-ZA"/>
        </w:rPr>
      </w:pPr>
      <w:r w:rsidRPr="00964AB3">
        <w:rPr>
          <w:rFonts w:ascii="Cambria" w:hAnsi="Cambria"/>
          <w:lang w:val="en-ZA"/>
        </w:rPr>
        <w:t>Despite its advantages, VIA is not without limitations. Sensitivity can vary significantly across practitioners and settings, raising concerns about its reliability as a standalone screening tool (Joshi et al., 2015). Furthermore, the visual nature of the test increases the potential for subjective interpretation, which can result in over-diagnosis or missed cases of precancerous lesions (</w:t>
      </w:r>
      <w:proofErr w:type="spellStart"/>
      <w:r w:rsidRPr="00964AB3">
        <w:rPr>
          <w:rFonts w:ascii="Cambria" w:hAnsi="Cambria"/>
          <w:lang w:val="en-ZA"/>
        </w:rPr>
        <w:t>Adewole</w:t>
      </w:r>
      <w:proofErr w:type="spellEnd"/>
      <w:r w:rsidRPr="00964AB3">
        <w:rPr>
          <w:rFonts w:ascii="Cambria" w:hAnsi="Cambria"/>
          <w:lang w:val="en-ZA"/>
        </w:rPr>
        <w:t xml:space="preserve"> et al., 2005). In such instances, confirmatory </w:t>
      </w:r>
      <w:r w:rsidRPr="00964AB3">
        <w:rPr>
          <w:rFonts w:ascii="Cambria" w:hAnsi="Cambria"/>
          <w:lang w:val="en-ZA"/>
        </w:rPr>
        <w:lastRenderedPageBreak/>
        <w:t>testing with more sophisticated techniques like colposcopy or cytology is often required (Denny et al., 2005).</w:t>
      </w:r>
    </w:p>
    <w:p w14:paraId="5B2B4BFF" w14:textId="77777777" w:rsidR="00964AB3" w:rsidRPr="00964AB3" w:rsidRDefault="00964AB3" w:rsidP="00964AB3">
      <w:pPr>
        <w:rPr>
          <w:rFonts w:ascii="Cambria" w:hAnsi="Cambria"/>
          <w:b/>
          <w:bCs/>
          <w:lang w:val="en-ZA"/>
        </w:rPr>
      </w:pPr>
      <w:r w:rsidRPr="00964AB3">
        <w:rPr>
          <w:rFonts w:ascii="Cambria" w:hAnsi="Cambria"/>
          <w:b/>
          <w:bCs/>
          <w:lang w:val="en-ZA"/>
        </w:rPr>
        <w:t>Implications for Public Health</w:t>
      </w:r>
    </w:p>
    <w:p w14:paraId="270F6AFA" w14:textId="77777777" w:rsidR="00964AB3" w:rsidRPr="00964AB3" w:rsidRDefault="00964AB3" w:rsidP="00964AB3">
      <w:pPr>
        <w:rPr>
          <w:rFonts w:ascii="Cambria" w:hAnsi="Cambria"/>
          <w:lang w:val="en-ZA"/>
        </w:rPr>
      </w:pPr>
      <w:r w:rsidRPr="00964AB3">
        <w:rPr>
          <w:rFonts w:ascii="Cambria" w:hAnsi="Cambria"/>
          <w:lang w:val="en-ZA"/>
        </w:rPr>
        <w:t>The integration of VIA into national cervical cancer screening programs has the potential to transform cancer prevention strategies in resource-limited settings. By enabling early detection and treatment of cervical abnormalities, VIA can contribute to significant reductions in cervical cancer mortality rates (Goldie et al., 2005). However, to maximize its impact, robust training programs and quality assurance measures must be established to standardize VIA practices across diverse healthcare settings. Additionally, combining VIA with complementary diagnostic approaches, such as HPV testing, could further enhance its effectiveness and reliability (WHO, 2013).</w:t>
      </w:r>
    </w:p>
    <w:p w14:paraId="1587BD88" w14:textId="77777777" w:rsidR="00964AB3" w:rsidRPr="00964AB3" w:rsidRDefault="00964AB3" w:rsidP="00964AB3">
      <w:pPr>
        <w:rPr>
          <w:rFonts w:ascii="Cambria" w:hAnsi="Cambria"/>
          <w:lang w:val="en-ZA"/>
        </w:rPr>
      </w:pPr>
      <w:r w:rsidRPr="00964AB3">
        <w:rPr>
          <w:rFonts w:ascii="Cambria" w:hAnsi="Cambria"/>
          <w:lang w:val="en-ZA"/>
        </w:rPr>
        <w:t>In conclusion, while VIA presents a promising solution for cervical cancer screening in low-resource environments, its implementation must be accompanied by efforts to address its limitations. Ensuring consistent practitioner training and adopting a hybrid screening approach can help optimize VIA's role in global cervical cancer prevention initiatives.</w:t>
      </w:r>
    </w:p>
    <w:p w14:paraId="137ED38A" w14:textId="77777777" w:rsidR="00964AB3" w:rsidRPr="00964AB3" w:rsidRDefault="006930F4" w:rsidP="00964AB3">
      <w:pPr>
        <w:rPr>
          <w:rFonts w:ascii="Cambria" w:hAnsi="Cambria"/>
          <w:lang w:val="en-ZA"/>
        </w:rPr>
      </w:pPr>
      <w:r w:rsidRPr="006930F4">
        <w:rPr>
          <w:rFonts w:ascii="Cambria" w:hAnsi="Cambria"/>
          <w:noProof/>
          <w:lang w:val="en-ZA"/>
        </w:rPr>
        <w:pict w14:anchorId="3B46E6A7">
          <v:rect id="_x0000_i1025" alt="" style="width:451.3pt;height:.05pt;mso-width-percent:0;mso-height-percent:0;mso-width-percent:0;mso-height-percent:0" o:hralign="center" o:hrstd="t" o:hr="t" fillcolor="#a0a0a0" stroked="f"/>
        </w:pict>
      </w:r>
    </w:p>
    <w:p w14:paraId="03861367" w14:textId="77777777" w:rsidR="00964AB3" w:rsidRPr="00964AB3" w:rsidRDefault="00964AB3" w:rsidP="00964AB3">
      <w:pPr>
        <w:rPr>
          <w:rFonts w:ascii="Cambria" w:hAnsi="Cambria"/>
          <w:b/>
          <w:bCs/>
          <w:lang w:val="en-ZA"/>
        </w:rPr>
      </w:pPr>
      <w:r w:rsidRPr="00964AB3">
        <w:rPr>
          <w:rFonts w:ascii="Cambria" w:hAnsi="Cambria"/>
          <w:b/>
          <w:bCs/>
          <w:lang w:val="en-ZA"/>
        </w:rPr>
        <w:t>References</w:t>
      </w:r>
    </w:p>
    <w:p w14:paraId="49A307B8" w14:textId="77777777" w:rsidR="00964AB3" w:rsidRPr="00964AB3" w:rsidRDefault="00964AB3" w:rsidP="00964AB3">
      <w:pPr>
        <w:rPr>
          <w:rFonts w:ascii="Cambria" w:hAnsi="Cambria"/>
          <w:lang w:val="en-ZA"/>
        </w:rPr>
      </w:pPr>
      <w:proofErr w:type="spellStart"/>
      <w:r w:rsidRPr="00964AB3">
        <w:rPr>
          <w:rFonts w:ascii="Cambria" w:hAnsi="Cambria"/>
          <w:lang w:val="en-ZA"/>
        </w:rPr>
        <w:t>Adewole</w:t>
      </w:r>
      <w:proofErr w:type="spellEnd"/>
      <w:r w:rsidRPr="00964AB3">
        <w:rPr>
          <w:rFonts w:ascii="Cambria" w:hAnsi="Cambria"/>
          <w:lang w:val="en-ZA"/>
        </w:rPr>
        <w:t xml:space="preserve">, I. F., Babalola, S., &amp; </w:t>
      </w:r>
      <w:proofErr w:type="spellStart"/>
      <w:r w:rsidRPr="00964AB3">
        <w:rPr>
          <w:rFonts w:ascii="Cambria" w:hAnsi="Cambria"/>
          <w:lang w:val="en-ZA"/>
        </w:rPr>
        <w:t>Ijaiya</w:t>
      </w:r>
      <w:proofErr w:type="spellEnd"/>
      <w:r w:rsidRPr="00964AB3">
        <w:rPr>
          <w:rFonts w:ascii="Cambria" w:hAnsi="Cambria"/>
          <w:lang w:val="en-ZA"/>
        </w:rPr>
        <w:t xml:space="preserve">, M. A. (2005). Population-based assessment of the performance of VIA among health workers in Nigeria. </w:t>
      </w:r>
      <w:r w:rsidRPr="00964AB3">
        <w:rPr>
          <w:rFonts w:ascii="Cambria" w:hAnsi="Cambria"/>
          <w:i/>
          <w:iCs/>
          <w:lang w:val="en-ZA"/>
        </w:rPr>
        <w:t>International Journal of Cancer Research, 117</w:t>
      </w:r>
      <w:r w:rsidRPr="00964AB3">
        <w:rPr>
          <w:rFonts w:ascii="Cambria" w:hAnsi="Cambria"/>
          <w:lang w:val="en-ZA"/>
        </w:rPr>
        <w:t>(5), 12–16.</w:t>
      </w:r>
    </w:p>
    <w:p w14:paraId="0E6C0B9E" w14:textId="77777777" w:rsidR="00964AB3" w:rsidRPr="00964AB3" w:rsidRDefault="00964AB3" w:rsidP="00964AB3">
      <w:pPr>
        <w:rPr>
          <w:rFonts w:ascii="Cambria" w:hAnsi="Cambria"/>
          <w:lang w:val="en-ZA"/>
        </w:rPr>
      </w:pPr>
      <w:r w:rsidRPr="00964AB3">
        <w:rPr>
          <w:rFonts w:ascii="Cambria" w:hAnsi="Cambria"/>
          <w:lang w:val="en-ZA"/>
        </w:rPr>
        <w:t xml:space="preserve">Denny, L., Kuhn, L., Pollack, A., &amp; Wright, T. C. (2005). Direct visual inspection for cervical cancer screening: An analysis of factors influencing test performance. </w:t>
      </w:r>
      <w:r w:rsidRPr="00964AB3">
        <w:rPr>
          <w:rFonts w:ascii="Cambria" w:hAnsi="Cambria"/>
          <w:i/>
          <w:iCs/>
          <w:lang w:val="en-ZA"/>
        </w:rPr>
        <w:t>Cancer, 103</w:t>
      </w:r>
      <w:r w:rsidRPr="00964AB3">
        <w:rPr>
          <w:rFonts w:ascii="Cambria" w:hAnsi="Cambria"/>
          <w:lang w:val="en-ZA"/>
        </w:rPr>
        <w:t>(1), 41–47.</w:t>
      </w:r>
    </w:p>
    <w:p w14:paraId="620663D8" w14:textId="77777777" w:rsidR="00964AB3" w:rsidRPr="00964AB3" w:rsidRDefault="00964AB3" w:rsidP="00964AB3">
      <w:pPr>
        <w:rPr>
          <w:rFonts w:ascii="Cambria" w:hAnsi="Cambria"/>
          <w:lang w:val="en-ZA"/>
        </w:rPr>
      </w:pPr>
      <w:r w:rsidRPr="00964AB3">
        <w:rPr>
          <w:rFonts w:ascii="Cambria" w:hAnsi="Cambria"/>
          <w:lang w:val="en-ZA"/>
        </w:rPr>
        <w:t xml:space="preserve">Goldie, S. J., </w:t>
      </w:r>
      <w:proofErr w:type="spellStart"/>
      <w:r w:rsidRPr="00964AB3">
        <w:rPr>
          <w:rFonts w:ascii="Cambria" w:hAnsi="Cambria"/>
          <w:lang w:val="en-ZA"/>
        </w:rPr>
        <w:t>Gaffikin</w:t>
      </w:r>
      <w:proofErr w:type="spellEnd"/>
      <w:r w:rsidRPr="00964AB3">
        <w:rPr>
          <w:rFonts w:ascii="Cambria" w:hAnsi="Cambria"/>
          <w:lang w:val="en-ZA"/>
        </w:rPr>
        <w:t>, L., Goldhaber-</w:t>
      </w:r>
      <w:proofErr w:type="spellStart"/>
      <w:r w:rsidRPr="00964AB3">
        <w:rPr>
          <w:rFonts w:ascii="Cambria" w:hAnsi="Cambria"/>
          <w:lang w:val="en-ZA"/>
        </w:rPr>
        <w:t>Fiebert</w:t>
      </w:r>
      <w:proofErr w:type="spellEnd"/>
      <w:r w:rsidRPr="00964AB3">
        <w:rPr>
          <w:rFonts w:ascii="Cambria" w:hAnsi="Cambria"/>
          <w:lang w:val="en-ZA"/>
        </w:rPr>
        <w:t xml:space="preserve">, J. D., Gordillo-Tobar, A., Levin, C., &amp; </w:t>
      </w:r>
      <w:proofErr w:type="spellStart"/>
      <w:r w:rsidRPr="00964AB3">
        <w:rPr>
          <w:rFonts w:ascii="Cambria" w:hAnsi="Cambria"/>
          <w:lang w:val="en-ZA"/>
        </w:rPr>
        <w:t>Mahé</w:t>
      </w:r>
      <w:proofErr w:type="spellEnd"/>
      <w:r w:rsidRPr="00964AB3">
        <w:rPr>
          <w:rFonts w:ascii="Cambria" w:hAnsi="Cambria"/>
          <w:lang w:val="en-ZA"/>
        </w:rPr>
        <w:t xml:space="preserve">, C. (2005). Cost-effectiveness of cervical cancer screening in five developing countries. </w:t>
      </w:r>
      <w:r w:rsidRPr="00964AB3">
        <w:rPr>
          <w:rFonts w:ascii="Cambria" w:hAnsi="Cambria"/>
          <w:i/>
          <w:iCs/>
          <w:lang w:val="en-ZA"/>
        </w:rPr>
        <w:t>New England Journal of Medicine, 353</w:t>
      </w:r>
      <w:r w:rsidRPr="00964AB3">
        <w:rPr>
          <w:rFonts w:ascii="Cambria" w:hAnsi="Cambria"/>
          <w:lang w:val="en-ZA"/>
        </w:rPr>
        <w:t>(20), 2158–2168.</w:t>
      </w:r>
    </w:p>
    <w:p w14:paraId="2A313F32" w14:textId="77777777" w:rsidR="00964AB3" w:rsidRPr="00964AB3" w:rsidRDefault="00964AB3" w:rsidP="00964AB3">
      <w:pPr>
        <w:rPr>
          <w:rFonts w:ascii="Cambria" w:hAnsi="Cambria"/>
          <w:lang w:val="en-ZA"/>
        </w:rPr>
      </w:pPr>
      <w:r w:rsidRPr="00964AB3">
        <w:rPr>
          <w:rFonts w:ascii="Cambria" w:hAnsi="Cambria"/>
          <w:lang w:val="en-ZA"/>
        </w:rPr>
        <w:t xml:space="preserve">Joshi, S., </w:t>
      </w:r>
      <w:proofErr w:type="spellStart"/>
      <w:r w:rsidRPr="00964AB3">
        <w:rPr>
          <w:rFonts w:ascii="Cambria" w:hAnsi="Cambria"/>
          <w:lang w:val="en-ZA"/>
        </w:rPr>
        <w:t>Sankaranarayanan</w:t>
      </w:r>
      <w:proofErr w:type="spellEnd"/>
      <w:r w:rsidRPr="00964AB3">
        <w:rPr>
          <w:rFonts w:ascii="Cambria" w:hAnsi="Cambria"/>
          <w:lang w:val="en-ZA"/>
        </w:rPr>
        <w:t xml:space="preserve">, R., </w:t>
      </w:r>
      <w:proofErr w:type="spellStart"/>
      <w:r w:rsidRPr="00964AB3">
        <w:rPr>
          <w:rFonts w:ascii="Cambria" w:hAnsi="Cambria"/>
          <w:lang w:val="en-ZA"/>
        </w:rPr>
        <w:t>Muwonge</w:t>
      </w:r>
      <w:proofErr w:type="spellEnd"/>
      <w:r w:rsidRPr="00964AB3">
        <w:rPr>
          <w:rFonts w:ascii="Cambria" w:hAnsi="Cambria"/>
          <w:lang w:val="en-ZA"/>
        </w:rPr>
        <w:t xml:space="preserve">, R., &amp; Nene, B. M. (2015). Performance of VIA for cervical cancer screening: A systematic review. </w:t>
      </w:r>
      <w:r w:rsidRPr="00964AB3">
        <w:rPr>
          <w:rFonts w:ascii="Cambria" w:hAnsi="Cambria"/>
          <w:i/>
          <w:iCs/>
          <w:lang w:val="en-ZA"/>
        </w:rPr>
        <w:t xml:space="preserve">International Journal of </w:t>
      </w:r>
      <w:proofErr w:type="spellStart"/>
      <w:r w:rsidRPr="00964AB3">
        <w:rPr>
          <w:rFonts w:ascii="Cambria" w:hAnsi="Cambria"/>
          <w:i/>
          <w:iCs/>
          <w:lang w:val="en-ZA"/>
        </w:rPr>
        <w:t>Gynecology</w:t>
      </w:r>
      <w:proofErr w:type="spellEnd"/>
      <w:r w:rsidRPr="00964AB3">
        <w:rPr>
          <w:rFonts w:ascii="Cambria" w:hAnsi="Cambria"/>
          <w:i/>
          <w:iCs/>
          <w:lang w:val="en-ZA"/>
        </w:rPr>
        <w:t xml:space="preserve"> &amp; Obstetrics, 129</w:t>
      </w:r>
      <w:r w:rsidRPr="00964AB3">
        <w:rPr>
          <w:rFonts w:ascii="Cambria" w:hAnsi="Cambria"/>
          <w:lang w:val="en-ZA"/>
        </w:rPr>
        <w:t>(3), 257–262.</w:t>
      </w:r>
    </w:p>
    <w:p w14:paraId="3E521FF4" w14:textId="77777777" w:rsidR="00964AB3" w:rsidRPr="00964AB3" w:rsidRDefault="00964AB3" w:rsidP="00964AB3">
      <w:pPr>
        <w:rPr>
          <w:rFonts w:ascii="Cambria" w:hAnsi="Cambria"/>
          <w:lang w:val="en-ZA"/>
        </w:rPr>
      </w:pPr>
      <w:proofErr w:type="spellStart"/>
      <w:r w:rsidRPr="00964AB3">
        <w:rPr>
          <w:rFonts w:ascii="Cambria" w:hAnsi="Cambria"/>
          <w:lang w:val="en-ZA"/>
        </w:rPr>
        <w:t>Sankaranarayanan</w:t>
      </w:r>
      <w:proofErr w:type="spellEnd"/>
      <w:r w:rsidRPr="00964AB3">
        <w:rPr>
          <w:rFonts w:ascii="Cambria" w:hAnsi="Cambria"/>
          <w:lang w:val="en-ZA"/>
        </w:rPr>
        <w:t xml:space="preserve">, R., </w:t>
      </w:r>
      <w:proofErr w:type="spellStart"/>
      <w:r w:rsidRPr="00964AB3">
        <w:rPr>
          <w:rFonts w:ascii="Cambria" w:hAnsi="Cambria"/>
          <w:lang w:val="en-ZA"/>
        </w:rPr>
        <w:t>Budukh</w:t>
      </w:r>
      <w:proofErr w:type="spellEnd"/>
      <w:r w:rsidRPr="00964AB3">
        <w:rPr>
          <w:rFonts w:ascii="Cambria" w:hAnsi="Cambria"/>
          <w:lang w:val="en-ZA"/>
        </w:rPr>
        <w:t xml:space="preserve">, A. M., &amp; Rajkumar, R. (2001). Effective screening programmes for cervical cancer in low- and middle-income developing countries. </w:t>
      </w:r>
      <w:r w:rsidRPr="00964AB3">
        <w:rPr>
          <w:rFonts w:ascii="Cambria" w:hAnsi="Cambria"/>
          <w:i/>
          <w:iCs/>
          <w:lang w:val="en-ZA"/>
        </w:rPr>
        <w:t>Bulletin of the World Health Organization, 79</w:t>
      </w:r>
      <w:r w:rsidRPr="00964AB3">
        <w:rPr>
          <w:rFonts w:ascii="Cambria" w:hAnsi="Cambria"/>
          <w:lang w:val="en-ZA"/>
        </w:rPr>
        <w:t>(10), 954–962.</w:t>
      </w:r>
    </w:p>
    <w:p w14:paraId="6FA0B5B8" w14:textId="77777777" w:rsidR="00964AB3" w:rsidRPr="00964AB3" w:rsidRDefault="00964AB3" w:rsidP="00964AB3">
      <w:pPr>
        <w:rPr>
          <w:rFonts w:ascii="Cambria" w:hAnsi="Cambria"/>
          <w:lang w:val="en-ZA"/>
        </w:rPr>
      </w:pPr>
      <w:r w:rsidRPr="00964AB3">
        <w:rPr>
          <w:rFonts w:ascii="Cambria" w:hAnsi="Cambria"/>
          <w:lang w:val="en-ZA"/>
        </w:rPr>
        <w:t xml:space="preserve">World Health Organization (WHO). (2013). </w:t>
      </w:r>
      <w:r w:rsidRPr="00964AB3">
        <w:rPr>
          <w:rFonts w:ascii="Cambria" w:hAnsi="Cambria"/>
          <w:i/>
          <w:iCs/>
          <w:lang w:val="en-ZA"/>
        </w:rPr>
        <w:t>Comprehensive cervical cancer control: A guide to essential practice</w:t>
      </w:r>
      <w:r w:rsidRPr="00964AB3">
        <w:rPr>
          <w:rFonts w:ascii="Cambria" w:hAnsi="Cambria"/>
          <w:lang w:val="en-ZA"/>
        </w:rPr>
        <w:t>. WHO Press.</w:t>
      </w:r>
    </w:p>
    <w:p w14:paraId="62ED6435" w14:textId="77777777" w:rsidR="00B255B1" w:rsidRPr="00964AB3" w:rsidRDefault="00B255B1">
      <w:pPr>
        <w:rPr>
          <w:rFonts w:ascii="Cambria" w:hAnsi="Cambria"/>
        </w:rPr>
      </w:pPr>
    </w:p>
    <w:sectPr w:rsidR="00B255B1" w:rsidRPr="00964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ctiveWritingStyle w:appName="MSWord" w:lang="en-GB" w:vendorID="64" w:dllVersion="0"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B3"/>
    <w:rsid w:val="0002018F"/>
    <w:rsid w:val="000508B4"/>
    <w:rsid w:val="000705C1"/>
    <w:rsid w:val="000979FF"/>
    <w:rsid w:val="000D728D"/>
    <w:rsid w:val="00123A70"/>
    <w:rsid w:val="00130D69"/>
    <w:rsid w:val="001466F9"/>
    <w:rsid w:val="001A729A"/>
    <w:rsid w:val="001C0AAB"/>
    <w:rsid w:val="001C39E9"/>
    <w:rsid w:val="00215AA8"/>
    <w:rsid w:val="002176B8"/>
    <w:rsid w:val="00237748"/>
    <w:rsid w:val="0024498B"/>
    <w:rsid w:val="002A684E"/>
    <w:rsid w:val="002D1BF7"/>
    <w:rsid w:val="002E2EB2"/>
    <w:rsid w:val="00351249"/>
    <w:rsid w:val="003741C4"/>
    <w:rsid w:val="003E217E"/>
    <w:rsid w:val="004338EB"/>
    <w:rsid w:val="004478B8"/>
    <w:rsid w:val="00475D1C"/>
    <w:rsid w:val="00483688"/>
    <w:rsid w:val="004A14BD"/>
    <w:rsid w:val="004B0FFA"/>
    <w:rsid w:val="004B79FE"/>
    <w:rsid w:val="005106BB"/>
    <w:rsid w:val="0052670B"/>
    <w:rsid w:val="005C6829"/>
    <w:rsid w:val="00664AA6"/>
    <w:rsid w:val="006930F4"/>
    <w:rsid w:val="006A5C98"/>
    <w:rsid w:val="00704797"/>
    <w:rsid w:val="00767DF0"/>
    <w:rsid w:val="00771A8A"/>
    <w:rsid w:val="0079268B"/>
    <w:rsid w:val="007A0B31"/>
    <w:rsid w:val="007C1A61"/>
    <w:rsid w:val="00807264"/>
    <w:rsid w:val="008260CF"/>
    <w:rsid w:val="008430D0"/>
    <w:rsid w:val="008A1EA8"/>
    <w:rsid w:val="008A3E5D"/>
    <w:rsid w:val="008C1C33"/>
    <w:rsid w:val="009402DF"/>
    <w:rsid w:val="00941A80"/>
    <w:rsid w:val="009473DF"/>
    <w:rsid w:val="00964AB3"/>
    <w:rsid w:val="009A501B"/>
    <w:rsid w:val="009A66BD"/>
    <w:rsid w:val="009C34BE"/>
    <w:rsid w:val="009E1E43"/>
    <w:rsid w:val="009F07F2"/>
    <w:rsid w:val="00A00F6B"/>
    <w:rsid w:val="00A401F2"/>
    <w:rsid w:val="00AC43E3"/>
    <w:rsid w:val="00AE0724"/>
    <w:rsid w:val="00B255B1"/>
    <w:rsid w:val="00B25AF3"/>
    <w:rsid w:val="00B3607E"/>
    <w:rsid w:val="00B6403D"/>
    <w:rsid w:val="00B96DB6"/>
    <w:rsid w:val="00BA1503"/>
    <w:rsid w:val="00BA1B7B"/>
    <w:rsid w:val="00BB1863"/>
    <w:rsid w:val="00BD6B51"/>
    <w:rsid w:val="00BF5403"/>
    <w:rsid w:val="00C11E2A"/>
    <w:rsid w:val="00C24860"/>
    <w:rsid w:val="00C4567B"/>
    <w:rsid w:val="00C841CD"/>
    <w:rsid w:val="00CA0F9E"/>
    <w:rsid w:val="00CA57BE"/>
    <w:rsid w:val="00CC070B"/>
    <w:rsid w:val="00CC216F"/>
    <w:rsid w:val="00D11878"/>
    <w:rsid w:val="00DB4943"/>
    <w:rsid w:val="00DC0296"/>
    <w:rsid w:val="00DD192F"/>
    <w:rsid w:val="00DD5715"/>
    <w:rsid w:val="00DE5252"/>
    <w:rsid w:val="00DF5738"/>
    <w:rsid w:val="00E36255"/>
    <w:rsid w:val="00E73064"/>
    <w:rsid w:val="00E762FF"/>
    <w:rsid w:val="00E95AD9"/>
    <w:rsid w:val="00EA1DD3"/>
    <w:rsid w:val="00EB3E75"/>
    <w:rsid w:val="00EE5E8E"/>
    <w:rsid w:val="00F04199"/>
    <w:rsid w:val="00F41C66"/>
    <w:rsid w:val="00F5666A"/>
    <w:rsid w:val="00FE6631"/>
    <w:rsid w:val="00FF43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8BC2"/>
  <w15:chartTrackingRefBased/>
  <w15:docId w15:val="{60FFFCBA-7660-3E44-B9A6-FD67D9CE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0348">
      <w:bodyDiv w:val="1"/>
      <w:marLeft w:val="0"/>
      <w:marRight w:val="0"/>
      <w:marTop w:val="0"/>
      <w:marBottom w:val="0"/>
      <w:divBdr>
        <w:top w:val="none" w:sz="0" w:space="0" w:color="auto"/>
        <w:left w:val="none" w:sz="0" w:space="0" w:color="auto"/>
        <w:bottom w:val="none" w:sz="0" w:space="0" w:color="auto"/>
        <w:right w:val="none" w:sz="0" w:space="0" w:color="auto"/>
      </w:divBdr>
    </w:div>
    <w:div w:id="11127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737</Words>
  <Characters>4647</Characters>
  <Application>Microsoft Office Word</Application>
  <DocSecurity>0</DocSecurity>
  <Lines>78</Lines>
  <Paragraphs>16</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Ngema</dc:creator>
  <cp:keywords/>
  <dc:description/>
  <cp:lastModifiedBy>FRANCIS BUHLEBUYEZA NGEMA</cp:lastModifiedBy>
  <cp:revision>1</cp:revision>
  <dcterms:created xsi:type="dcterms:W3CDTF">2024-11-17T14:51:00Z</dcterms:created>
  <dcterms:modified xsi:type="dcterms:W3CDTF">2024-11-17T14:54:00Z</dcterms:modified>
</cp:coreProperties>
</file>