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85D2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Research Protocol</w:t>
      </w:r>
    </w:p>
    <w:p w14:paraId="441FAFB7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Title:</w:t>
      </w:r>
    </w:p>
    <w:p w14:paraId="0EA4E503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Comparative Cluster Analysis for Identifying Risk Groups for Positive VIA Outcomes in HIV-Positive Women in Eswatini</w:t>
      </w:r>
    </w:p>
    <w:p w14:paraId="66F25C49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Principal Investigator:</w:t>
      </w:r>
    </w:p>
    <w:p w14:paraId="7ACB3F32" w14:textId="515DE09D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[</w:t>
      </w:r>
      <w:r>
        <w:rPr>
          <w:rFonts w:ascii="Cambria" w:hAnsi="Cambria"/>
          <w:lang w:val="en-ZA"/>
        </w:rPr>
        <w:t>Pako Mmileng, Francis Ngema</w:t>
      </w:r>
      <w:r w:rsidRPr="00BA7097">
        <w:rPr>
          <w:rFonts w:ascii="Cambria" w:hAnsi="Cambria"/>
          <w:lang w:val="en-ZA"/>
        </w:rPr>
        <w:t>]</w:t>
      </w:r>
    </w:p>
    <w:p w14:paraId="624469D5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pict w14:anchorId="2806BD5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59CF634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Background and Rationale</w:t>
      </w:r>
    </w:p>
    <w:p w14:paraId="219E2353" w14:textId="71F6A37E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Cervical cancer remains a significant health burden among HIV-positive women, with HIV increasing susceptibility to Human Papillomavirus (HPV) infections, a known precursor to cervical cancer. Visual Inspection with Acetic Acid (VIA) is an effective, low-cost cervical cancer screening tool, particularly in low-resource settings like Eswatini. Given the high rates of HIV among women in Eswatini, identifying risk groups for positive VIA outcomes is essential to provide targeted interventions and optimi</w:t>
      </w:r>
      <w:r w:rsidR="00CF3BE4">
        <w:rPr>
          <w:rFonts w:ascii="Cambria" w:hAnsi="Cambria"/>
          <w:lang w:val="en-ZA"/>
        </w:rPr>
        <w:t>s</w:t>
      </w:r>
      <w:r w:rsidRPr="00BA7097">
        <w:rPr>
          <w:rFonts w:ascii="Cambria" w:hAnsi="Cambria"/>
          <w:lang w:val="en-ZA"/>
        </w:rPr>
        <w:t>e screening strategies.</w:t>
      </w:r>
    </w:p>
    <w:p w14:paraId="4ABDF980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 xml:space="preserve">This study proposes a novel approach: leveraging unsupervised machine learning techniques, such as K-means, hierarchical clustering, and DBSCAN, to identify and interpret clusters of HIV-positive women based on demographic, clinical, and </w:t>
      </w:r>
      <w:proofErr w:type="spellStart"/>
      <w:r w:rsidRPr="00BA7097">
        <w:rPr>
          <w:rFonts w:ascii="Cambria" w:hAnsi="Cambria"/>
          <w:lang w:val="en-ZA"/>
        </w:rPr>
        <w:t>behavioral</w:t>
      </w:r>
      <w:proofErr w:type="spellEnd"/>
      <w:r w:rsidRPr="00BA7097">
        <w:rPr>
          <w:rFonts w:ascii="Cambria" w:hAnsi="Cambria"/>
          <w:lang w:val="en-ZA"/>
        </w:rPr>
        <w:t xml:space="preserve"> characteristics. These clusters may reveal underlying risk groups, providing a basis for targeted interventions to reduce cervical cancer incidence.</w:t>
      </w:r>
    </w:p>
    <w:p w14:paraId="75196EE0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pict w14:anchorId="2599F56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BBF7D3C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Objectives</w:t>
      </w:r>
    </w:p>
    <w:p w14:paraId="2C345C5C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Primary Objective</w:t>
      </w:r>
      <w:r w:rsidRPr="00BA7097">
        <w:rPr>
          <w:rFonts w:ascii="Cambria" w:hAnsi="Cambria"/>
          <w:lang w:val="en-ZA"/>
        </w:rPr>
        <w:t>:</w:t>
      </w:r>
    </w:p>
    <w:p w14:paraId="6FC80F1C" w14:textId="77777777" w:rsidR="00BA7097" w:rsidRPr="00BA7097" w:rsidRDefault="00BA7097" w:rsidP="00BA7097">
      <w:pPr>
        <w:numPr>
          <w:ilvl w:val="0"/>
          <w:numId w:val="1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To identify clusters of HIV-positive women in Eswatini with distinct characteristics associated with positive VIA outcomes.</w:t>
      </w:r>
    </w:p>
    <w:p w14:paraId="68F88F45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Secondary Objectives</w:t>
      </w:r>
      <w:r w:rsidRPr="00BA7097">
        <w:rPr>
          <w:rFonts w:ascii="Cambria" w:hAnsi="Cambria"/>
          <w:lang w:val="en-ZA"/>
        </w:rPr>
        <w:t>:</w:t>
      </w:r>
    </w:p>
    <w:p w14:paraId="229D2BB3" w14:textId="77777777" w:rsidR="00BA7097" w:rsidRPr="00BA7097" w:rsidRDefault="00BA7097" w:rsidP="00BA7097">
      <w:pPr>
        <w:numPr>
          <w:ilvl w:val="0"/>
          <w:numId w:val="2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To compare the efficacy of K-means, hierarchical clustering, and DBSCAN in identifying clinically meaningful clusters related to positive VIA outcomes.</w:t>
      </w:r>
    </w:p>
    <w:p w14:paraId="02A23F82" w14:textId="72E5E98B" w:rsidR="00BA7097" w:rsidRPr="00BA7097" w:rsidRDefault="00BA7097" w:rsidP="00BA7097">
      <w:pPr>
        <w:numPr>
          <w:ilvl w:val="0"/>
          <w:numId w:val="2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 xml:space="preserve">To characterize each cluster to identify significant demographic, clinical, or </w:t>
      </w:r>
      <w:r w:rsidRPr="00BA7097">
        <w:rPr>
          <w:rFonts w:ascii="Cambria" w:hAnsi="Cambria"/>
          <w:lang w:val="en-ZA"/>
        </w:rPr>
        <w:t>behavioural</w:t>
      </w:r>
      <w:r w:rsidRPr="00BA7097">
        <w:rPr>
          <w:rFonts w:ascii="Cambria" w:hAnsi="Cambria"/>
          <w:lang w:val="en-ZA"/>
        </w:rPr>
        <w:t xml:space="preserve"> factors associated with increased risk for positive VIA outcomes.</w:t>
      </w:r>
    </w:p>
    <w:p w14:paraId="1684C439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pict w14:anchorId="1E67C7C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E688C7B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Study Design</w:t>
      </w:r>
    </w:p>
    <w:p w14:paraId="0BE2395B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lastRenderedPageBreak/>
        <w:t>This is a retrospective, observational, data-driven study using unsupervised learning techniques to identify and interpret clusters among HIV-positive women in Eswatini who have undergone VIA screening.</w:t>
      </w:r>
    </w:p>
    <w:p w14:paraId="00BF167A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pict w14:anchorId="0E6918C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DCE058F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Methods</w:t>
      </w:r>
    </w:p>
    <w:p w14:paraId="23B8247B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Study Population</w:t>
      </w:r>
    </w:p>
    <w:p w14:paraId="6A5C4657" w14:textId="77777777" w:rsidR="00BA7097" w:rsidRPr="00BA7097" w:rsidRDefault="00BA7097" w:rsidP="00BA7097">
      <w:pPr>
        <w:numPr>
          <w:ilvl w:val="0"/>
          <w:numId w:val="3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Inclusion Criteria</w:t>
      </w:r>
      <w:r w:rsidRPr="00BA7097">
        <w:rPr>
          <w:rFonts w:ascii="Cambria" w:hAnsi="Cambria"/>
          <w:lang w:val="en-ZA"/>
        </w:rPr>
        <w:t>:</w:t>
      </w:r>
    </w:p>
    <w:p w14:paraId="710378A1" w14:textId="77777777" w:rsidR="00BA7097" w:rsidRPr="00BA7097" w:rsidRDefault="00BA7097" w:rsidP="00BA7097">
      <w:pPr>
        <w:numPr>
          <w:ilvl w:val="1"/>
          <w:numId w:val="3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HIV-positive women, aged 18 years and above, who have undergone VIA screening at participating health facilities in Eswatini.</w:t>
      </w:r>
    </w:p>
    <w:p w14:paraId="2D37B073" w14:textId="2200C44C" w:rsidR="00BA7097" w:rsidRPr="00BA7097" w:rsidRDefault="00BA7097" w:rsidP="00BA7097">
      <w:pPr>
        <w:numPr>
          <w:ilvl w:val="1"/>
          <w:numId w:val="3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 xml:space="preserve">Available demographic, clinical, and </w:t>
      </w:r>
      <w:r w:rsidRPr="00BA7097">
        <w:rPr>
          <w:rFonts w:ascii="Cambria" w:hAnsi="Cambria"/>
          <w:lang w:val="en-ZA"/>
        </w:rPr>
        <w:t>behavioural</w:t>
      </w:r>
      <w:r w:rsidRPr="00BA7097">
        <w:rPr>
          <w:rFonts w:ascii="Cambria" w:hAnsi="Cambria"/>
          <w:lang w:val="en-ZA"/>
        </w:rPr>
        <w:t xml:space="preserve"> data relevant to cervical cancer risk.</w:t>
      </w:r>
    </w:p>
    <w:p w14:paraId="4C78FE46" w14:textId="77777777" w:rsidR="00BA7097" w:rsidRPr="00BA7097" w:rsidRDefault="00BA7097" w:rsidP="00BA7097">
      <w:pPr>
        <w:numPr>
          <w:ilvl w:val="0"/>
          <w:numId w:val="3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Exclusion Criteria</w:t>
      </w:r>
      <w:r w:rsidRPr="00BA7097">
        <w:rPr>
          <w:rFonts w:ascii="Cambria" w:hAnsi="Cambria"/>
          <w:lang w:val="en-ZA"/>
        </w:rPr>
        <w:t>:</w:t>
      </w:r>
    </w:p>
    <w:p w14:paraId="58BF9CBE" w14:textId="77777777" w:rsidR="00BA7097" w:rsidRPr="00BA7097" w:rsidRDefault="00BA7097" w:rsidP="00BA7097">
      <w:pPr>
        <w:numPr>
          <w:ilvl w:val="1"/>
          <w:numId w:val="3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Women with incomplete records or missing data for key variables related to VIA screening.</w:t>
      </w:r>
    </w:p>
    <w:p w14:paraId="49ED12A5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Data Collection</w:t>
      </w:r>
    </w:p>
    <w:p w14:paraId="26F113D1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Data will be collected retrospectively from medical records at designated health facilities. The variables considered include:</w:t>
      </w:r>
    </w:p>
    <w:p w14:paraId="09920488" w14:textId="77777777" w:rsidR="00BA7097" w:rsidRPr="00BA7097" w:rsidRDefault="00BA7097" w:rsidP="00BA7097">
      <w:pPr>
        <w:numPr>
          <w:ilvl w:val="0"/>
          <w:numId w:val="4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Demographic Variables</w:t>
      </w:r>
      <w:r w:rsidRPr="00BA7097">
        <w:rPr>
          <w:rFonts w:ascii="Cambria" w:hAnsi="Cambria"/>
          <w:lang w:val="en-ZA"/>
        </w:rPr>
        <w:t>: Age, marital status, residence type (urban/rural), education level.</w:t>
      </w:r>
    </w:p>
    <w:p w14:paraId="41C49372" w14:textId="77777777" w:rsidR="00BA7097" w:rsidRPr="00BA7097" w:rsidRDefault="00BA7097" w:rsidP="00BA7097">
      <w:pPr>
        <w:numPr>
          <w:ilvl w:val="0"/>
          <w:numId w:val="4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Clinical Variables</w:t>
      </w:r>
      <w:r w:rsidRPr="00BA7097">
        <w:rPr>
          <w:rFonts w:ascii="Cambria" w:hAnsi="Cambria"/>
          <w:lang w:val="en-ZA"/>
        </w:rPr>
        <w:t>: WHO clinical stage at ART initiation, ART regimen, duration on ART, history of opportunistic infections.</w:t>
      </w:r>
    </w:p>
    <w:p w14:paraId="2D59658A" w14:textId="2D4A18A6" w:rsidR="00BA7097" w:rsidRPr="00BA7097" w:rsidRDefault="00BA7097" w:rsidP="00BA7097">
      <w:pPr>
        <w:numPr>
          <w:ilvl w:val="0"/>
          <w:numId w:val="4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Behavioural</w:t>
      </w:r>
      <w:r w:rsidRPr="00BA7097">
        <w:rPr>
          <w:rFonts w:ascii="Cambria" w:hAnsi="Cambria"/>
          <w:b/>
          <w:bCs/>
          <w:lang w:val="en-ZA"/>
        </w:rPr>
        <w:t xml:space="preserve"> Variables</w:t>
      </w:r>
      <w:r w:rsidRPr="00BA7097">
        <w:rPr>
          <w:rFonts w:ascii="Cambria" w:hAnsi="Cambria"/>
          <w:lang w:val="en-ZA"/>
        </w:rPr>
        <w:t>: Smoking status, sexual history, contraceptive use, and any previous history of cervical abnormalities or cancer screening.</w:t>
      </w:r>
    </w:p>
    <w:p w14:paraId="599932E7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Outcome Variable</w:t>
      </w:r>
    </w:p>
    <w:p w14:paraId="6542A49A" w14:textId="77777777" w:rsidR="00BA7097" w:rsidRPr="00BA7097" w:rsidRDefault="00BA7097" w:rsidP="00BA7097">
      <w:pPr>
        <w:numPr>
          <w:ilvl w:val="0"/>
          <w:numId w:val="5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Primary Outcome</w:t>
      </w:r>
      <w:r w:rsidRPr="00BA7097">
        <w:rPr>
          <w:rFonts w:ascii="Cambria" w:hAnsi="Cambria"/>
          <w:lang w:val="en-ZA"/>
        </w:rPr>
        <w:t>: Positive VIA outcome (binary: positive/negative).</w:t>
      </w:r>
    </w:p>
    <w:p w14:paraId="48B19C3C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pict w14:anchorId="70E9710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C3800A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Data Analysis</w:t>
      </w:r>
    </w:p>
    <w:p w14:paraId="4713DC18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Data Preprocessing</w:t>
      </w:r>
    </w:p>
    <w:p w14:paraId="5FEF641A" w14:textId="77777777" w:rsidR="00BA7097" w:rsidRPr="00BA7097" w:rsidRDefault="00BA7097" w:rsidP="00BA7097">
      <w:pPr>
        <w:numPr>
          <w:ilvl w:val="0"/>
          <w:numId w:val="6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Handling Missing Data</w:t>
      </w:r>
      <w:r w:rsidRPr="00BA7097">
        <w:rPr>
          <w:rFonts w:ascii="Cambria" w:hAnsi="Cambria"/>
          <w:lang w:val="en-ZA"/>
        </w:rPr>
        <w:t>: Missing values will be handled using imputation techniques based on the nature and distribution of the missing data.</w:t>
      </w:r>
    </w:p>
    <w:p w14:paraId="7DE01C0C" w14:textId="77777777" w:rsidR="00BA7097" w:rsidRPr="00BA7097" w:rsidRDefault="00BA7097" w:rsidP="00BA7097">
      <w:pPr>
        <w:numPr>
          <w:ilvl w:val="0"/>
          <w:numId w:val="6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Normalization</w:t>
      </w:r>
      <w:r w:rsidRPr="00BA7097">
        <w:rPr>
          <w:rFonts w:ascii="Cambria" w:hAnsi="Cambria"/>
          <w:lang w:val="en-ZA"/>
        </w:rPr>
        <w:t>: Numerical variables will be standardized to ensure consistent scaling across variables.</w:t>
      </w:r>
    </w:p>
    <w:p w14:paraId="19A0FA10" w14:textId="77777777" w:rsidR="00BA7097" w:rsidRPr="00BA7097" w:rsidRDefault="00BA7097" w:rsidP="00BA7097">
      <w:pPr>
        <w:numPr>
          <w:ilvl w:val="0"/>
          <w:numId w:val="6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lastRenderedPageBreak/>
        <w:t>Encoding</w:t>
      </w:r>
      <w:r w:rsidRPr="00BA7097">
        <w:rPr>
          <w:rFonts w:ascii="Cambria" w:hAnsi="Cambria"/>
          <w:lang w:val="en-ZA"/>
        </w:rPr>
        <w:t>: Categorical variables will be encoded appropriately, for instance, with one-hot encoding or dummy variables as needed.</w:t>
      </w:r>
    </w:p>
    <w:p w14:paraId="4FA5FB79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Cluster Analysis</w:t>
      </w:r>
    </w:p>
    <w:p w14:paraId="2DAD2B9F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Three unsupervised clustering techniques will be applied independently to identify clusters:</w:t>
      </w:r>
    </w:p>
    <w:p w14:paraId="676F445B" w14:textId="77777777" w:rsidR="00BA7097" w:rsidRPr="00BA7097" w:rsidRDefault="00BA7097" w:rsidP="00BA7097">
      <w:pPr>
        <w:numPr>
          <w:ilvl w:val="0"/>
          <w:numId w:val="7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K-means Clustering</w:t>
      </w:r>
      <w:r w:rsidRPr="00BA7097">
        <w:rPr>
          <w:rFonts w:ascii="Cambria" w:hAnsi="Cambria"/>
          <w:lang w:val="en-ZA"/>
        </w:rPr>
        <w:t>:</w:t>
      </w:r>
    </w:p>
    <w:p w14:paraId="329E4FD8" w14:textId="77777777" w:rsidR="00BA7097" w:rsidRPr="00BA7097" w:rsidRDefault="00BA7097" w:rsidP="00BA7097">
      <w:pPr>
        <w:numPr>
          <w:ilvl w:val="1"/>
          <w:numId w:val="7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K-means will be performed with varying numbers of clusters (k) to determine the optimal number of clusters based on the elbow method and silhouette score.</w:t>
      </w:r>
    </w:p>
    <w:p w14:paraId="7E69E3D0" w14:textId="77777777" w:rsidR="00BA7097" w:rsidRPr="00BA7097" w:rsidRDefault="00BA7097" w:rsidP="00BA7097">
      <w:pPr>
        <w:numPr>
          <w:ilvl w:val="0"/>
          <w:numId w:val="7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Hierarchical Clustering</w:t>
      </w:r>
      <w:r w:rsidRPr="00BA7097">
        <w:rPr>
          <w:rFonts w:ascii="Cambria" w:hAnsi="Cambria"/>
          <w:lang w:val="en-ZA"/>
        </w:rPr>
        <w:t>:</w:t>
      </w:r>
    </w:p>
    <w:p w14:paraId="3F55944E" w14:textId="77777777" w:rsidR="00BA7097" w:rsidRPr="00BA7097" w:rsidRDefault="00BA7097" w:rsidP="00BA7097">
      <w:pPr>
        <w:numPr>
          <w:ilvl w:val="1"/>
          <w:numId w:val="7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Hierarchical clustering will use agglomerative methods with different linkage criteria (e.g., complete, average). The number of clusters will be determined based on the dendrogram and silhouette score.</w:t>
      </w:r>
    </w:p>
    <w:p w14:paraId="512743FC" w14:textId="77777777" w:rsidR="00BA7097" w:rsidRPr="00BA7097" w:rsidRDefault="00BA7097" w:rsidP="00BA7097">
      <w:pPr>
        <w:numPr>
          <w:ilvl w:val="0"/>
          <w:numId w:val="7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Density-Based Spatial Clustering of Applications with Noise (DBSCAN)</w:t>
      </w:r>
      <w:r w:rsidRPr="00BA7097">
        <w:rPr>
          <w:rFonts w:ascii="Cambria" w:hAnsi="Cambria"/>
          <w:lang w:val="en-ZA"/>
        </w:rPr>
        <w:t>:</w:t>
      </w:r>
    </w:p>
    <w:p w14:paraId="6A67F79B" w14:textId="77777777" w:rsidR="00BA7097" w:rsidRPr="00BA7097" w:rsidRDefault="00BA7097" w:rsidP="00BA7097">
      <w:pPr>
        <w:numPr>
          <w:ilvl w:val="1"/>
          <w:numId w:val="7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DBSCAN will be used to identify clusters based on the density of data points, with epsilon and minimum samples tuned to optimize cluster formation and noise reduction.</w:t>
      </w:r>
    </w:p>
    <w:p w14:paraId="3192E614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Comparative Analysis</w:t>
      </w:r>
    </w:p>
    <w:p w14:paraId="6B914EE7" w14:textId="77777777" w:rsidR="00BA7097" w:rsidRPr="00BA7097" w:rsidRDefault="00BA7097" w:rsidP="00BA7097">
      <w:pPr>
        <w:numPr>
          <w:ilvl w:val="0"/>
          <w:numId w:val="8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Cluster Validation</w:t>
      </w:r>
      <w:r w:rsidRPr="00BA7097">
        <w:rPr>
          <w:rFonts w:ascii="Cambria" w:hAnsi="Cambria"/>
          <w:lang w:val="en-ZA"/>
        </w:rPr>
        <w:t>: Clusters identified by each method will be evaluated and validated using silhouette scores, Davies-Bouldin index, and other cluster validation metrics.</w:t>
      </w:r>
    </w:p>
    <w:p w14:paraId="408CD241" w14:textId="77777777" w:rsidR="00BA7097" w:rsidRPr="00BA7097" w:rsidRDefault="00BA7097" w:rsidP="00BA7097">
      <w:pPr>
        <w:numPr>
          <w:ilvl w:val="0"/>
          <w:numId w:val="8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Comparative Efficacy</w:t>
      </w:r>
      <w:r w:rsidRPr="00BA7097">
        <w:rPr>
          <w:rFonts w:ascii="Cambria" w:hAnsi="Cambria"/>
          <w:lang w:val="en-ZA"/>
        </w:rPr>
        <w:t>: The clustering techniques (K-means, hierarchical, DBSCAN) will be compared based on interpretability, stability, and ability to identify meaningful subgroups associated with VIA outcomes.</w:t>
      </w:r>
    </w:p>
    <w:p w14:paraId="756AD576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Cluster Interpretation and Characterization</w:t>
      </w:r>
    </w:p>
    <w:p w14:paraId="1E8C0582" w14:textId="77777777" w:rsidR="00BA7097" w:rsidRPr="00BA7097" w:rsidRDefault="00BA7097" w:rsidP="00BA7097">
      <w:p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For each clustering method:</w:t>
      </w:r>
    </w:p>
    <w:p w14:paraId="7CBC0698" w14:textId="14D10BEB" w:rsidR="00BA7097" w:rsidRPr="00BA7097" w:rsidRDefault="00BA7097" w:rsidP="00BA7097">
      <w:pPr>
        <w:numPr>
          <w:ilvl w:val="0"/>
          <w:numId w:val="9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Descriptive Statistics</w:t>
      </w:r>
      <w:r w:rsidRPr="00BA7097">
        <w:rPr>
          <w:rFonts w:ascii="Cambria" w:hAnsi="Cambria"/>
          <w:lang w:val="en-ZA"/>
        </w:rPr>
        <w:t xml:space="preserve">: </w:t>
      </w:r>
      <w:r w:rsidRPr="00BA7097">
        <w:rPr>
          <w:rFonts w:ascii="Cambria" w:hAnsi="Cambria"/>
          <w:lang w:val="en-ZA"/>
        </w:rPr>
        <w:t>Analyse</w:t>
      </w:r>
      <w:r w:rsidRPr="00BA7097">
        <w:rPr>
          <w:rFonts w:ascii="Cambria" w:hAnsi="Cambria"/>
          <w:lang w:val="en-ZA"/>
        </w:rPr>
        <w:t xml:space="preserve"> and report descriptive statistics for each cluster regarding demographic, clinical, and </w:t>
      </w:r>
      <w:r w:rsidRPr="00BA7097">
        <w:rPr>
          <w:rFonts w:ascii="Cambria" w:hAnsi="Cambria"/>
          <w:lang w:val="en-ZA"/>
        </w:rPr>
        <w:t>behavioural</w:t>
      </w:r>
      <w:r w:rsidRPr="00BA7097">
        <w:rPr>
          <w:rFonts w:ascii="Cambria" w:hAnsi="Cambria"/>
          <w:lang w:val="en-ZA"/>
        </w:rPr>
        <w:t xml:space="preserve"> variables.</w:t>
      </w:r>
    </w:p>
    <w:p w14:paraId="5455E22A" w14:textId="77777777" w:rsidR="00BA7097" w:rsidRPr="00BA7097" w:rsidRDefault="00BA7097" w:rsidP="00BA7097">
      <w:pPr>
        <w:numPr>
          <w:ilvl w:val="0"/>
          <w:numId w:val="9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Correlation with Positive VIA Outcomes</w:t>
      </w:r>
      <w:r w:rsidRPr="00BA7097">
        <w:rPr>
          <w:rFonts w:ascii="Cambria" w:hAnsi="Cambria"/>
          <w:lang w:val="en-ZA"/>
        </w:rPr>
        <w:t>: Each cluster will be evaluated for its association with positive VIA outcomes to identify specific clusters with higher relative risks.</w:t>
      </w:r>
    </w:p>
    <w:p w14:paraId="7DD2434A" w14:textId="77777777" w:rsidR="00BA7097" w:rsidRPr="00BA7097" w:rsidRDefault="00BA7097" w:rsidP="00BA7097">
      <w:pPr>
        <w:numPr>
          <w:ilvl w:val="0"/>
          <w:numId w:val="9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Risk Group Profiles</w:t>
      </w:r>
      <w:r w:rsidRPr="00BA7097">
        <w:rPr>
          <w:rFonts w:ascii="Cambria" w:hAnsi="Cambria"/>
          <w:lang w:val="en-ZA"/>
        </w:rPr>
        <w:t>: Develop profiles for clusters with significant associations with positive VIA outcomes, highlighting key characteristics (e.g., younger age, advanced clinical stage, rural residence) that may inform targeted screening and intervention efforts.</w:t>
      </w:r>
    </w:p>
    <w:p w14:paraId="066C6C84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lastRenderedPageBreak/>
        <w:pict w14:anchorId="46A2CDD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88BB689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Ethical Considerations</w:t>
      </w:r>
    </w:p>
    <w:p w14:paraId="72E64A2F" w14:textId="77777777" w:rsidR="00BA7097" w:rsidRPr="00BA7097" w:rsidRDefault="00BA7097" w:rsidP="00BA7097">
      <w:pPr>
        <w:numPr>
          <w:ilvl w:val="0"/>
          <w:numId w:val="10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Confidentiality</w:t>
      </w:r>
      <w:r w:rsidRPr="00BA7097">
        <w:rPr>
          <w:rFonts w:ascii="Cambria" w:hAnsi="Cambria"/>
          <w:lang w:val="en-ZA"/>
        </w:rPr>
        <w:t>: Data will be de-identified to ensure patient confidentiality. All analysis will be conducted on anonymized data in compliance with data protection laws and ethical guidelines.</w:t>
      </w:r>
    </w:p>
    <w:p w14:paraId="07B8D18F" w14:textId="77777777" w:rsidR="00BA7097" w:rsidRPr="00BA7097" w:rsidRDefault="00BA7097" w:rsidP="00BA7097">
      <w:pPr>
        <w:numPr>
          <w:ilvl w:val="0"/>
          <w:numId w:val="10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Data Access and Security</w:t>
      </w:r>
      <w:r w:rsidRPr="00BA7097">
        <w:rPr>
          <w:rFonts w:ascii="Cambria" w:hAnsi="Cambria"/>
          <w:lang w:val="en-ZA"/>
        </w:rPr>
        <w:t>: Access to patient data will be restricted to the research team. Data will be securely stored on encrypted servers.</w:t>
      </w:r>
    </w:p>
    <w:p w14:paraId="584BFE64" w14:textId="77777777" w:rsidR="00BA7097" w:rsidRPr="00BA7097" w:rsidRDefault="00BA7097" w:rsidP="00BA7097">
      <w:pPr>
        <w:numPr>
          <w:ilvl w:val="0"/>
          <w:numId w:val="10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Informed Consent</w:t>
      </w:r>
      <w:r w:rsidRPr="00BA7097">
        <w:rPr>
          <w:rFonts w:ascii="Cambria" w:hAnsi="Cambria"/>
          <w:lang w:val="en-ZA"/>
        </w:rPr>
        <w:t>: As this is a retrospective study utilizing anonymized data, a waiver of informed consent will be requested from the Institutional Review Board (IRB).</w:t>
      </w:r>
    </w:p>
    <w:p w14:paraId="766B18F1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pict w14:anchorId="6EC0CF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A8D4DC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Limitations</w:t>
      </w:r>
    </w:p>
    <w:p w14:paraId="38FAA06A" w14:textId="77777777" w:rsidR="00BA7097" w:rsidRPr="00BA7097" w:rsidRDefault="00BA7097" w:rsidP="00BA7097">
      <w:pPr>
        <w:numPr>
          <w:ilvl w:val="0"/>
          <w:numId w:val="11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Retrospective Design</w:t>
      </w:r>
      <w:r w:rsidRPr="00BA7097">
        <w:rPr>
          <w:rFonts w:ascii="Cambria" w:hAnsi="Cambria"/>
          <w:lang w:val="en-ZA"/>
        </w:rPr>
        <w:t>: As the study uses retrospective data, there may be limitations in the availability or completeness of certain variables.</w:t>
      </w:r>
    </w:p>
    <w:p w14:paraId="01E8C799" w14:textId="77777777" w:rsidR="00BA7097" w:rsidRPr="00BA7097" w:rsidRDefault="00BA7097" w:rsidP="00BA7097">
      <w:pPr>
        <w:numPr>
          <w:ilvl w:val="0"/>
          <w:numId w:val="11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Generalizability</w:t>
      </w:r>
      <w:r w:rsidRPr="00BA7097">
        <w:rPr>
          <w:rFonts w:ascii="Cambria" w:hAnsi="Cambria"/>
          <w:lang w:val="en-ZA"/>
        </w:rPr>
        <w:t>: Findings may be specific to the population studied and may require validation in other settings to confirm applicability.</w:t>
      </w:r>
    </w:p>
    <w:p w14:paraId="5A3DD7D3" w14:textId="77777777" w:rsidR="00BA7097" w:rsidRPr="00BA7097" w:rsidRDefault="00BA7097" w:rsidP="00BA7097">
      <w:pPr>
        <w:numPr>
          <w:ilvl w:val="0"/>
          <w:numId w:val="11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b/>
          <w:bCs/>
          <w:lang w:val="en-ZA"/>
        </w:rPr>
        <w:t>Cluster Interpretation</w:t>
      </w:r>
      <w:r w:rsidRPr="00BA7097">
        <w:rPr>
          <w:rFonts w:ascii="Cambria" w:hAnsi="Cambria"/>
          <w:lang w:val="en-ZA"/>
        </w:rPr>
        <w:t>: Unsupervised clustering may lead to clusters that are difficult to interpret clinically, requiring careful analysis to ensure findings are actionable.</w:t>
      </w:r>
    </w:p>
    <w:p w14:paraId="118DB00B" w14:textId="77777777" w:rsidR="00BA7097" w:rsidRPr="00BA7097" w:rsidRDefault="0064058E" w:rsidP="00BA7097">
      <w:pPr>
        <w:rPr>
          <w:rFonts w:ascii="Cambria" w:hAnsi="Cambria"/>
          <w:lang w:val="en-ZA"/>
        </w:rPr>
      </w:pPr>
      <w:r w:rsidRPr="0064058E">
        <w:rPr>
          <w:rFonts w:ascii="Cambria" w:hAnsi="Cambria"/>
          <w:noProof/>
          <w:lang w:val="en-ZA"/>
        </w:rPr>
        <w:pict w14:anchorId="75DB07D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3A7602E" w14:textId="77777777" w:rsidR="00BA7097" w:rsidRPr="00BA7097" w:rsidRDefault="00BA7097" w:rsidP="00BA7097">
      <w:pPr>
        <w:rPr>
          <w:rFonts w:ascii="Cambria" w:hAnsi="Cambria"/>
          <w:b/>
          <w:bCs/>
          <w:lang w:val="en-ZA"/>
        </w:rPr>
      </w:pPr>
      <w:r w:rsidRPr="00BA7097">
        <w:rPr>
          <w:rFonts w:ascii="Cambria" w:hAnsi="Cambria"/>
          <w:b/>
          <w:bCs/>
          <w:lang w:val="en-ZA"/>
        </w:rPr>
        <w:t>Expected Outcomes</w:t>
      </w:r>
    </w:p>
    <w:p w14:paraId="47217171" w14:textId="77777777" w:rsidR="00BA7097" w:rsidRPr="00BA7097" w:rsidRDefault="00BA7097" w:rsidP="00BA7097">
      <w:pPr>
        <w:numPr>
          <w:ilvl w:val="0"/>
          <w:numId w:val="12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Identification of distinct clusters within the population of HIV-positive women that correlate with positive VIA outcomes.</w:t>
      </w:r>
    </w:p>
    <w:p w14:paraId="6909E6BF" w14:textId="77777777" w:rsidR="00BA7097" w:rsidRPr="00BA7097" w:rsidRDefault="00BA7097" w:rsidP="00BA7097">
      <w:pPr>
        <w:numPr>
          <w:ilvl w:val="0"/>
          <w:numId w:val="12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Comparison of clustering methods to determine the most effective approach for identifying clinically meaningful risk groups.</w:t>
      </w:r>
    </w:p>
    <w:p w14:paraId="3BE62067" w14:textId="77777777" w:rsidR="00BA7097" w:rsidRPr="00BA7097" w:rsidRDefault="00BA7097" w:rsidP="00BA7097">
      <w:pPr>
        <w:numPr>
          <w:ilvl w:val="0"/>
          <w:numId w:val="12"/>
        </w:numPr>
        <w:rPr>
          <w:rFonts w:ascii="Cambria" w:hAnsi="Cambria"/>
          <w:lang w:val="en-ZA"/>
        </w:rPr>
      </w:pPr>
      <w:r w:rsidRPr="00BA7097">
        <w:rPr>
          <w:rFonts w:ascii="Cambria" w:hAnsi="Cambria"/>
          <w:lang w:val="en-ZA"/>
        </w:rPr>
        <w:t>A set of recommendations for targeted interventions based on cluster characteristics, aiming to improve cervical cancer screening and prevention efforts in HIV-positive women.</w:t>
      </w:r>
    </w:p>
    <w:p w14:paraId="0DDFD646" w14:textId="77777777" w:rsidR="00B255B1" w:rsidRPr="00BA7097" w:rsidRDefault="00B255B1">
      <w:pPr>
        <w:rPr>
          <w:rFonts w:ascii="Cambria" w:hAnsi="Cambria"/>
        </w:rPr>
      </w:pPr>
    </w:p>
    <w:sectPr w:rsidR="00B255B1" w:rsidRPr="00BA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51BC3" w14:textId="77777777" w:rsidR="0064058E" w:rsidRDefault="0064058E" w:rsidP="00BA7097">
      <w:pPr>
        <w:spacing w:after="0" w:line="240" w:lineRule="auto"/>
      </w:pPr>
      <w:r>
        <w:separator/>
      </w:r>
    </w:p>
  </w:endnote>
  <w:endnote w:type="continuationSeparator" w:id="0">
    <w:p w14:paraId="11840CC0" w14:textId="77777777" w:rsidR="0064058E" w:rsidRDefault="0064058E" w:rsidP="00BA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CF79D" w14:textId="77777777" w:rsidR="0064058E" w:rsidRDefault="0064058E" w:rsidP="00BA7097">
      <w:pPr>
        <w:spacing w:after="0" w:line="240" w:lineRule="auto"/>
      </w:pPr>
      <w:r>
        <w:separator/>
      </w:r>
    </w:p>
  </w:footnote>
  <w:footnote w:type="continuationSeparator" w:id="0">
    <w:p w14:paraId="686813A0" w14:textId="77777777" w:rsidR="0064058E" w:rsidRDefault="0064058E" w:rsidP="00BA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3B7"/>
    <w:multiLevelType w:val="multilevel"/>
    <w:tmpl w:val="FEC2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3DC0"/>
    <w:multiLevelType w:val="multilevel"/>
    <w:tmpl w:val="3B5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0749F"/>
    <w:multiLevelType w:val="multilevel"/>
    <w:tmpl w:val="86FE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D216D"/>
    <w:multiLevelType w:val="multilevel"/>
    <w:tmpl w:val="F3EA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C0F78"/>
    <w:multiLevelType w:val="multilevel"/>
    <w:tmpl w:val="2DD0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45576"/>
    <w:multiLevelType w:val="multilevel"/>
    <w:tmpl w:val="8BFE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20496"/>
    <w:multiLevelType w:val="multilevel"/>
    <w:tmpl w:val="50C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F7F1A"/>
    <w:multiLevelType w:val="multilevel"/>
    <w:tmpl w:val="B09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86365"/>
    <w:multiLevelType w:val="multilevel"/>
    <w:tmpl w:val="CA60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44930"/>
    <w:multiLevelType w:val="multilevel"/>
    <w:tmpl w:val="171C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F6C75"/>
    <w:multiLevelType w:val="multilevel"/>
    <w:tmpl w:val="229A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B464B"/>
    <w:multiLevelType w:val="multilevel"/>
    <w:tmpl w:val="E272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762248">
    <w:abstractNumId w:val="11"/>
  </w:num>
  <w:num w:numId="2" w16cid:durableId="1175732589">
    <w:abstractNumId w:val="9"/>
  </w:num>
  <w:num w:numId="3" w16cid:durableId="2021617595">
    <w:abstractNumId w:val="7"/>
  </w:num>
  <w:num w:numId="4" w16cid:durableId="2081172222">
    <w:abstractNumId w:val="4"/>
  </w:num>
  <w:num w:numId="5" w16cid:durableId="1589269417">
    <w:abstractNumId w:val="1"/>
  </w:num>
  <w:num w:numId="6" w16cid:durableId="1160846969">
    <w:abstractNumId w:val="8"/>
  </w:num>
  <w:num w:numId="7" w16cid:durableId="1455977924">
    <w:abstractNumId w:val="3"/>
  </w:num>
  <w:num w:numId="8" w16cid:durableId="708534133">
    <w:abstractNumId w:val="6"/>
  </w:num>
  <w:num w:numId="9" w16cid:durableId="955528502">
    <w:abstractNumId w:val="10"/>
  </w:num>
  <w:num w:numId="10" w16cid:durableId="903295193">
    <w:abstractNumId w:val="2"/>
  </w:num>
  <w:num w:numId="11" w16cid:durableId="1140927640">
    <w:abstractNumId w:val="5"/>
  </w:num>
  <w:num w:numId="12" w16cid:durableId="35982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97"/>
    <w:rsid w:val="0002018F"/>
    <w:rsid w:val="000508B4"/>
    <w:rsid w:val="000705C1"/>
    <w:rsid w:val="000979FF"/>
    <w:rsid w:val="000D728D"/>
    <w:rsid w:val="00123A70"/>
    <w:rsid w:val="00130D69"/>
    <w:rsid w:val="001466F9"/>
    <w:rsid w:val="001A729A"/>
    <w:rsid w:val="001C0AAB"/>
    <w:rsid w:val="001C39E9"/>
    <w:rsid w:val="00215AA8"/>
    <w:rsid w:val="002176B8"/>
    <w:rsid w:val="00237748"/>
    <w:rsid w:val="0024498B"/>
    <w:rsid w:val="002A684E"/>
    <w:rsid w:val="002D1BF7"/>
    <w:rsid w:val="002E2EB2"/>
    <w:rsid w:val="00351249"/>
    <w:rsid w:val="003741C4"/>
    <w:rsid w:val="003E217E"/>
    <w:rsid w:val="004338EB"/>
    <w:rsid w:val="004478B8"/>
    <w:rsid w:val="00475D1C"/>
    <w:rsid w:val="00483688"/>
    <w:rsid w:val="004A14BD"/>
    <w:rsid w:val="004B0FFA"/>
    <w:rsid w:val="004B79FE"/>
    <w:rsid w:val="005106BB"/>
    <w:rsid w:val="0052670B"/>
    <w:rsid w:val="005C6829"/>
    <w:rsid w:val="0064058E"/>
    <w:rsid w:val="00664AA6"/>
    <w:rsid w:val="006A5C98"/>
    <w:rsid w:val="00704797"/>
    <w:rsid w:val="00767DF0"/>
    <w:rsid w:val="00771A8A"/>
    <w:rsid w:val="0079268B"/>
    <w:rsid w:val="007A0B31"/>
    <w:rsid w:val="007C1A61"/>
    <w:rsid w:val="00807264"/>
    <w:rsid w:val="008260CF"/>
    <w:rsid w:val="008430D0"/>
    <w:rsid w:val="008A1EA8"/>
    <w:rsid w:val="008A3E5D"/>
    <w:rsid w:val="008C1C33"/>
    <w:rsid w:val="009402DF"/>
    <w:rsid w:val="00941A80"/>
    <w:rsid w:val="009473DF"/>
    <w:rsid w:val="009A501B"/>
    <w:rsid w:val="009A66BD"/>
    <w:rsid w:val="009C34BE"/>
    <w:rsid w:val="009E1E43"/>
    <w:rsid w:val="009F07F2"/>
    <w:rsid w:val="00A00F6B"/>
    <w:rsid w:val="00A401F2"/>
    <w:rsid w:val="00AC43E3"/>
    <w:rsid w:val="00AE0724"/>
    <w:rsid w:val="00B255B1"/>
    <w:rsid w:val="00B25AF3"/>
    <w:rsid w:val="00B3607E"/>
    <w:rsid w:val="00B6403D"/>
    <w:rsid w:val="00B96DB6"/>
    <w:rsid w:val="00BA1503"/>
    <w:rsid w:val="00BA1B7B"/>
    <w:rsid w:val="00BA7097"/>
    <w:rsid w:val="00BB1863"/>
    <w:rsid w:val="00BD6B51"/>
    <w:rsid w:val="00BF5403"/>
    <w:rsid w:val="00C11E2A"/>
    <w:rsid w:val="00C24860"/>
    <w:rsid w:val="00C4567B"/>
    <w:rsid w:val="00C841CD"/>
    <w:rsid w:val="00CA0F9E"/>
    <w:rsid w:val="00CA57BE"/>
    <w:rsid w:val="00CC070B"/>
    <w:rsid w:val="00CC216F"/>
    <w:rsid w:val="00CF3BE4"/>
    <w:rsid w:val="00D11878"/>
    <w:rsid w:val="00DB4943"/>
    <w:rsid w:val="00DC0296"/>
    <w:rsid w:val="00DD192F"/>
    <w:rsid w:val="00DD5715"/>
    <w:rsid w:val="00DE5252"/>
    <w:rsid w:val="00DF5738"/>
    <w:rsid w:val="00E36255"/>
    <w:rsid w:val="00E73064"/>
    <w:rsid w:val="00E762FF"/>
    <w:rsid w:val="00E95AD9"/>
    <w:rsid w:val="00EA1DD3"/>
    <w:rsid w:val="00EB3E75"/>
    <w:rsid w:val="00EE5E8E"/>
    <w:rsid w:val="00F04199"/>
    <w:rsid w:val="00F41C66"/>
    <w:rsid w:val="00F5666A"/>
    <w:rsid w:val="00FE6631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7817"/>
  <w15:chartTrackingRefBased/>
  <w15:docId w15:val="{DD57007E-253C-C547-AD7D-56338F00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9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7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9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8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887</Words>
  <Characters>5589</Characters>
  <Application>Microsoft Office Word</Application>
  <DocSecurity>0</DocSecurity>
  <Lines>94</Lines>
  <Paragraphs>19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Ngema</dc:creator>
  <cp:keywords/>
  <dc:description/>
  <cp:lastModifiedBy>FRANCIS BUHLEBUYEZA NGEMA</cp:lastModifiedBy>
  <cp:revision>2</cp:revision>
  <dcterms:created xsi:type="dcterms:W3CDTF">2024-11-12T15:35:00Z</dcterms:created>
  <dcterms:modified xsi:type="dcterms:W3CDTF">2024-11-17T11:23:00Z</dcterms:modified>
</cp:coreProperties>
</file>