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 w:line="560" w:lineRule="exact"/>
        <w:jc w:val="left"/>
      </w:pPr>
      <w:r>
        <w:rPr>
          <w:rFonts w:ascii="Times New Roman" w:cs="Times New Roman" w:eastAsia="Times New Roman" w:hAnsi="Times New Roman"/>
          <w:b/>
          <w:bCs/>
          <w:sz w:val="48"/>
          <w:szCs w:val="48"/>
        </w:rPr>
        <w:t xml:space="preserve">LegalLens: A Dual-Mode, Citation-Verified Framework for Rhetorical-Role-Aware Summarization of Indian Court Judgments</w:t>
      </w:r>
    </w:p>
    <w:p>
      <w:pPr>
        <w:spacing w:after="100"/>
        <w:jc w:val="left"/>
      </w:pPr>
      <w:r>
        <w:rPr>
          <w:rFonts w:ascii="Times New Roman" w:cs="Times New Roman" w:eastAsia="Times New Roman" w:hAnsi="Times New Roman"/>
          <w:sz w:val="22"/>
          <w:szCs w:val="22"/>
        </w:rPr>
        <w:t xml:space="preserve">SIVASUBRAMANI K J, AKULA MANIDEEP REDDY, MAHIMA R. IYER, SAMANYU NAIR, T. SENTHIL KUMAR, and ASHA P. SOMAN</w:t>
      </w:r>
    </w:p>
    <w:p>
      <w:pPr>
        <w:spacing w:after="100"/>
        <w:jc w:val="left"/>
      </w:pPr>
      <w:r>
        <w:rPr>
          <w:rFonts w:ascii="Times New Roman" w:cs="Times New Roman" w:eastAsia="Times New Roman" w:hAnsi="Times New Roman"/>
          <w:i/>
          <w:iCs/>
          <w:sz w:val="18"/>
          <w:szCs w:val="18"/>
        </w:rPr>
        <w:t xml:space="preserve">[Department], [Institution], [City, Country]  (affiliations to be completed)</w:t>
      </w:r>
    </w:p>
    <w:p>
      <w:pPr>
        <w:spacing w:after="120"/>
        <w:jc w:val="left"/>
      </w:pPr>
      <w:r>
        <w:rPr>
          <w:rFonts w:ascii="Times New Roman" w:cs="Times New Roman" w:eastAsia="Times New Roman" w:hAnsi="Times New Roman"/>
          <w:sz w:val="18"/>
          <w:szCs w:val="18"/>
        </w:rPr>
        <w:t xml:space="preserve">Corresponding author: [Name] (e-mail: [address]).</w:t>
      </w:r>
    </w:p>
    <w:p>
      <w:pPr>
        <w:pBdr>
          <w:bottom w:val="single" w:color="000000" w:sz="6" w:space="1"/>
        </w:pBdr>
        <w:spacing w:after="100"/>
      </w:pPr>
    </w:p>
    <w:p>
      <w:pPr>
        <w:sectPr>
          <w:headerReference w:type="default" r:id="rId7"/>
          <w:headerReference w:type="first" r:id="rId8"/>
          <w:footerReference w:type="default" r:id="rId9"/>
          <w:footerReference w:type="first" r:id="rId10"/>
          <w:type w:val="nextPage"/>
          <w:pgSz w:w="12240" w:h="15840" w:orient="portrait"/>
          <w:pgMar w:top="1080" w:right="900" w:bottom="1080" w:left="900" w:header="500" w:footer="500" w:gutter="0"/>
          <w:pgNumType/>
          <w:cols w:num="1"/>
          <w:titlePg/>
          <w:docGrid w:linePitch="360"/>
        </w:sectPr>
      </w:pPr>
    </w:p>
    <w:p>
      <w:pPr>
        <w:spacing w:after="100"/>
        <w:jc w:val="both"/>
      </w:pPr>
      <w:r>
        <w:rPr>
          <w:rFonts w:ascii="Times New Roman" w:cs="Times New Roman" w:eastAsia="Times New Roman" w:hAnsi="Times New Roman"/>
          <w:b/>
          <w:bCs/>
          <w:sz w:val="18"/>
          <w:szCs w:val="18"/>
        </w:rPr>
        <w:t xml:space="preserve">ABSTRACT </w:t>
      </w:r>
      <w:r>
        <w:rPr>
          <w:rFonts w:ascii="Times New Roman" w:cs="Times New Roman" w:eastAsia="Times New Roman" w:hAnsi="Times New Roman"/>
          <w:b/>
          <w:bCs/>
          <w:sz w:val="18"/>
          <w:szCs w:val="18"/>
        </w:rPr>
        <w:t xml:space="preserve">Court judgments in India are long, densely structured, and written in a highly technical register, which makes them difficult for both legal professionals under time pressure and lay citizens seeking to understand a ruling that affects them. We present LegalLens, an end-to-end natural language processing pipeline that converts a raw judgment into two audience-specific outputs: a structured, technical “Lawyer Mode” summary (500–700 words) organized under Facts, Appellant’s Arguments, Respondent’s Arguments, Reasoning, and Judgement, and a simplified “Citizen Mode” summary (150–250 words) in which legal jargon is substituted or glossed in plain language. The pipeline combines rule-based and machine-learned rhetorical-role classification (a TF-IDF and logistic regression model trained on the MARRO and OpenNyAI InRhetoricalRoles corpora), section-aware chunking, transformer-based abstractive summarization using BART, and a cross-encoder-based citation verification stage that traces every generated sentence back to its source paragraph with a confidence score. We additionally introduce a section-summary alignment procedure that derives section-specific supervision from the IN-Abs dataset, which provides only whole-document reference summaries, enabling future fine-tuning of the summarizer on a per-section basis. On a hand-labelled gold set, the learned rhetorical-role classifier exceeds 70% accuracy and outperforms the rule-based baseline, and citation verification yields a verified rate above 98% on a small held-out sample. We discuss the design choices, current limitations (including the zero-shot summarizer’s tendency toward extractive behavior and moderate alignment ambiguity from a general-domain cross-encoder), and directions for future work.</w:t>
      </w:r>
    </w:p>
    <w:p>
      <w:pPr>
        <w:spacing w:after="100"/>
        <w:jc w:val="both"/>
      </w:pPr>
      <w:r>
        <w:rPr>
          <w:rFonts w:ascii="Times New Roman" w:cs="Times New Roman" w:eastAsia="Times New Roman" w:hAnsi="Times New Roman"/>
          <w:b/>
          <w:bCs/>
          <w:sz w:val="18"/>
          <w:szCs w:val="18"/>
        </w:rPr>
        <w:t xml:space="preserve">INDEX TERMS </w:t>
      </w:r>
      <w:r>
        <w:rPr>
          <w:rFonts w:ascii="Times New Roman" w:cs="Times New Roman" w:eastAsia="Times New Roman" w:hAnsi="Times New Roman"/>
          <w:b/>
          <w:bCs/>
          <w:sz w:val="18"/>
          <w:szCs w:val="18"/>
        </w:rPr>
        <w:t xml:space="preserve">Abstractive summarization, BART, citation verification, cross-encoder, Indian court judgments, legal natural language processing, rhetorical role labelling, text simplification.</w:t>
      </w:r>
    </w:p>
    <w:p>
      <w:pPr>
        <w:pStyle w:val="Heading1"/>
        <w:keepNext/>
        <w:spacing w:after="80" w:before="200"/>
        <w:jc w:val="center"/>
      </w:pPr>
      <w:r>
        <w:rPr>
          <w:rFonts w:ascii="Times New Roman" w:cs="Times New Roman" w:eastAsia="Times New Roman" w:hAnsi="Times New Roman"/>
          <w:caps/>
          <w:sz w:val="20"/>
          <w:szCs w:val="20"/>
        </w:rPr>
        <w:t xml:space="preserve">I. Introduction</w:t>
      </w:r>
    </w:p>
    <w:p>
      <w:pPr>
        <w:spacing w:after="0" w:before="0" w:line="240"/>
        <w:ind w:firstLine="240"/>
        <w:jc w:val="both"/>
      </w:pPr>
      <w:r>
        <w:rPr>
          <w:rFonts w:ascii="Times New Roman" w:cs="Times New Roman" w:eastAsia="Times New Roman" w:hAnsi="Times New Roman"/>
          <w:sz w:val="20"/>
          <w:szCs w:val="20"/>
        </w:rPr>
        <w:t xml:space="preserve">Indian court judgments, particularly those of the Supreme Court and High Courts, are typically long, unstructured, and written for a specialist legal audience. A single ruling can span several thousand words, mix procedural detail with substantive reasoning, and use Latin maxims, cross-references, and citation styles that are opaque to a non-expert reader. This creates two distinct but related problems. First, practising lawyers and clerks need a fast, technically precise way to extract the operative facts, arguments, and ratio of a judgment without reading it end to end. Second, ordinary citizens affected by a ruling—or simply seeking to understand the law—have almost no accessible entry point into judicial text, since existing case-law databases return the full, unsimplified judgment.</w:t>
      </w:r>
    </w:p>
    <w:p>
      <w:pPr>
        <w:spacing w:after="0" w:before="0" w:line="240"/>
        <w:ind w:firstLine="240"/>
        <w:jc w:val="both"/>
      </w:pPr>
      <w:r>
        <w:rPr>
          <w:rFonts w:ascii="Times New Roman" w:cs="Times New Roman" w:eastAsia="Times New Roman" w:hAnsi="Times New Roman"/>
          <w:sz w:val="20"/>
          <w:szCs w:val="20"/>
        </w:rPr>
        <w:t xml:space="preserve">General-purpose summarization systems are not well suited to this setting for three reasons. They are not aware of the rhetorical structure of a judgment (facts versus arguments versus the court’s reasoning versus the final order), they do not distinguish between the needs of an expert and a lay reader, and, critically for a legal domain where factual accuracy is non-negotiable, they provide no mechanism for verifying that a generated statement is actually supported by the source text.</w:t>
      </w:r>
    </w:p>
    <w:p>
      <w:pPr>
        <w:spacing w:after="0" w:before="0" w:line="240"/>
        <w:ind w:firstLine="240"/>
        <w:jc w:val="both"/>
      </w:pPr>
      <w:r>
        <w:rPr>
          <w:rFonts w:ascii="Times New Roman" w:cs="Times New Roman" w:eastAsia="Times New Roman" w:hAnsi="Times New Roman"/>
          <w:sz w:val="20"/>
          <w:szCs w:val="20"/>
        </w:rPr>
        <w:t xml:space="preserve">This paper presents LegalLens, a pipeline that addresses all three limitations. LegalLens (i) classifies each paragraph of a judgment into one of five rhetorical roles—Facts, Appellant’s Arguments, Respondent’s Arguments, Reasoning, and Judgement—using a hybrid rule-based and learned classifier; (ii) generates two parallel summaries from the same underlying pipeline, a structured technical summary for legal professionals (“Lawyer Mode”) and a simplified plain-language summary for the public (“Citizen Mode”), the latter using an explicit jargon-substitution and glossary mechanism; and (iii) verifies every generated sentence against the source document using a cross-encoder similarity model, attaching a confidence score and a traceable citation. We further introduce a section-summary alignment procedure that constructs section-specific training targets from a whole-document summarization dataset, laying the groundwork for fine-tuning the summarizer per rhetorical section rather than treating the whole document uniformly.</w:t>
      </w:r>
    </w:p>
    <w:p>
      <w:pPr>
        <w:spacing w:after="0" w:before="0" w:line="240"/>
        <w:ind w:firstLine="240"/>
        <w:jc w:val="both"/>
      </w:pPr>
      <w:r>
        <w:rPr>
          <w:rFonts w:ascii="Times New Roman" w:cs="Times New Roman" w:eastAsia="Times New Roman" w:hAnsi="Times New Roman"/>
          <w:sz w:val="20"/>
          <w:szCs w:val="20"/>
        </w:rPr>
        <w:t xml:space="preserve">The remainder of this paper is organized as follows. Section II reviews related work in legal document summarization and rhetorical role labelling. Section III describes the LegalLens methodology, including the datasets used, the section detection and chunking stages, the summarization model, and the citation verification and section-summary alignment components. Section IV presents the testing and evaluation design, Section V reports results, Section VI discusses limitations, and Section VII concludes with directions for future work.</w:t>
      </w:r>
    </w:p>
    <w:p>
      <w:pPr>
        <w:pStyle w:val="Heading1"/>
        <w:keepNext/>
        <w:spacing w:after="80" w:before="200"/>
        <w:jc w:val="center"/>
      </w:pPr>
      <w:r>
        <w:rPr>
          <w:rFonts w:ascii="Times New Roman" w:cs="Times New Roman" w:eastAsia="Times New Roman" w:hAnsi="Times New Roman"/>
          <w:caps/>
          <w:sz w:val="20"/>
          <w:szCs w:val="20"/>
        </w:rPr>
        <w:t xml:space="preserve">II. Related Work</w:t>
      </w:r>
    </w:p>
    <w:p>
      <w:pPr>
        <w:pStyle w:val="Heading2"/>
        <w:keepNext/>
        <w:spacing w:after="60" w:before="120"/>
        <w:jc w:val="left"/>
      </w:pPr>
      <w:r>
        <w:rPr>
          <w:rFonts w:ascii="Times New Roman" w:cs="Times New Roman" w:eastAsia="Times New Roman" w:hAnsi="Times New Roman"/>
          <w:i/>
          <w:iCs/>
          <w:sz w:val="20"/>
          <w:szCs w:val="20"/>
        </w:rPr>
        <w:t xml:space="preserve">A. Rhetorical Role Labelling of Legal Text</w:t>
      </w:r>
    </w:p>
    <w:p>
      <w:pPr>
        <w:spacing w:after="0" w:before="0" w:line="240"/>
        <w:ind w:firstLine="240"/>
        <w:jc w:val="both"/>
      </w:pPr>
      <w:r>
        <w:rPr>
          <w:rFonts w:ascii="Times New Roman" w:cs="Times New Roman" w:eastAsia="Times New Roman" w:hAnsi="Times New Roman"/>
          <w:sz w:val="20"/>
          <w:szCs w:val="20"/>
        </w:rPr>
        <w:t xml:space="preserve">Legal documents, and Indian court judgments in particular, have a recognizable discourse structure that prior work has sought to formalize as a rhetorical-role classification task. Corpora such as MARRO and the OpenNyAI InRhetoricalRoles dataset annotate individual sentences of Indian Supreme Court and High Court judgments with role labels—for example, facts, arguments raised by each party, the court’s analysis, and the final ratio decidendi or order. Typically these corpora use a finer-grained taxonomy than is needed for end-user summarization; the OpenNyAI scheme, for instance, makes distinctions between petitioner and respondent arguments, precedent relied upon versus not relied upon, and preamble text, in addition to facts, analysis, statute references, ratio, and the final order. LegalLens builds directly on this line of work by combining two such corpora to train a section classifier capable of distinguishing appellant from respondent arguments, a distinction that a single corpus alone does not reliably support.</w:t>
      </w:r>
    </w:p>
    <w:p>
      <w:pPr>
        <w:pStyle w:val="Heading2"/>
        <w:keepNext/>
        <w:spacing w:after="60" w:before="120"/>
        <w:jc w:val="left"/>
      </w:pPr>
      <w:r>
        <w:rPr>
          <w:rFonts w:ascii="Times New Roman" w:cs="Times New Roman" w:eastAsia="Times New Roman" w:hAnsi="Times New Roman"/>
          <w:i/>
          <w:iCs/>
          <w:sz w:val="20"/>
          <w:szCs w:val="20"/>
        </w:rPr>
        <w:t xml:space="preserve">B. Abstractive Summarization of Legal Text</w:t>
      </w:r>
    </w:p>
    <w:p>
      <w:pPr>
        <w:spacing w:after="0" w:before="0" w:line="240"/>
        <w:ind w:firstLine="240"/>
        <w:jc w:val="both"/>
      </w:pPr>
      <w:r>
        <w:rPr>
          <w:rFonts w:ascii="Times New Roman" w:cs="Times New Roman" w:eastAsia="Times New Roman" w:hAnsi="Times New Roman"/>
          <w:sz w:val="20"/>
          <w:szCs w:val="20"/>
        </w:rPr>
        <w:t xml:space="preserve">Sequence-to-sequence transformer models such as BART have become a standard backbone for abstractive summarization, but off-the-shelf checkpoints trained on news or generic web text transfer poorly to legal documents, which are far longer than typical transformer input windows and use a specialized register. Prior legal summarization work has generally applied such models either extractively, by selecting salient sentences, or abstractively after truncating or chunking long documents, but with comparatively little attention to aligning generated summaries back to a specific rhetorical section of the source. Datasets such as IN-Abs, which pair full Indian Supreme Court judgments with headnote-style reference summaries, provide only a single whole-document summary per judgment, which limits their direct use for section-aware fine-tuning without an additional alignment step.</w:t>
      </w:r>
    </w:p>
    <w:p>
      <w:pPr>
        <w:pStyle w:val="Heading2"/>
        <w:keepNext/>
        <w:spacing w:after="60" w:before="120"/>
        <w:jc w:val="left"/>
      </w:pPr>
      <w:r>
        <w:rPr>
          <w:rFonts w:ascii="Times New Roman" w:cs="Times New Roman" w:eastAsia="Times New Roman" w:hAnsi="Times New Roman"/>
          <w:i/>
          <w:iCs/>
          <w:sz w:val="20"/>
          <w:szCs w:val="20"/>
        </w:rPr>
        <w:t xml:space="preserve">C. Hybrid Pipelines and LLM-Based Legal Summarization</w:t>
      </w:r>
    </w:p>
    <w:p>
      <w:pPr>
        <w:spacing w:after="0" w:before="0" w:line="240"/>
        <w:ind w:firstLine="240"/>
        <w:jc w:val="both"/>
      </w:pPr>
      <w:r>
        <w:rPr>
          <w:rFonts w:ascii="Times New Roman" w:cs="Times New Roman" w:eastAsia="Times New Roman" w:hAnsi="Times New Roman"/>
          <w:sz w:val="20"/>
          <w:szCs w:val="20"/>
        </w:rPr>
        <w:t xml:space="preserve">Recent literature frames long-document legal summarization as a challenge of pipeline architecture rather than raw model parameters. Patel et al. [1] demonstrated that a hybrid pipeline pairing TextRank sentence selection with a fine-tuned BART-Large-CNN outperformed a 4-bit quantized LLaMA-2 7B model on Indian Supreme Court judgments, achieving higher ROUGE-1 F1 scores and earning strong preferences from legal experts for relevance and consistency. Similarly, Ansar et al. [2] introduced </w:t>
      </w:r>
      <w:r>
        <w:rPr>
          <w:rFonts w:ascii="Times New Roman" w:cs="Times New Roman" w:eastAsia="Times New Roman" w:hAnsi="Times New Roman"/>
          <w:i/>
          <w:iCs/>
          <w:sz w:val="20"/>
          <w:szCs w:val="20"/>
        </w:rPr>
        <w:t xml:space="preserve">LeSum</w:t>
      </w:r>
      <w:r>
        <w:rPr>
          <w:rFonts w:ascii="Times New Roman" w:cs="Times New Roman" w:eastAsia="Times New Roman" w:hAnsi="Times New Roman"/>
          <w:sz w:val="20"/>
          <w:szCs w:val="20"/>
        </w:rPr>
        <w:t xml:space="preserve">, utilizing a topic-guided graph-based extraction step that reduces document length by approximately 59% prior to generation with PEGASUS, BART, Gemini, or LLaMA across Indian Supreme and High Court judgments. Surveys by Nazly and Yapa [3] and He et al. [4] also highlight that ranking sentences in isolation risks destroying argument structure, discourse relations, and precedent citations, while emphasizing that standard n-gram overlap metrics (such as ROUGE) fail to measure legal correctness. LegalLens builds on these insights by employing a structured, section-aware processing pipeline that preserves rhetorical coherence while maintaining computational efficiency.</w:t>
      </w:r>
    </w:p>
    <w:p>
      <w:pPr>
        <w:pStyle w:val="Heading2"/>
        <w:keepNext/>
        <w:spacing w:after="60" w:before="120"/>
        <w:jc w:val="left"/>
      </w:pPr>
      <w:r>
        <w:rPr>
          <w:rFonts w:ascii="Times New Roman" w:cs="Times New Roman" w:eastAsia="Times New Roman" w:hAnsi="Times New Roman"/>
          <w:i/>
          <w:iCs/>
          <w:sz w:val="20"/>
          <w:szCs w:val="20"/>
        </w:rPr>
        <w:t xml:space="preserve">D. Faithfulness and Citation Verification</w:t>
      </w:r>
    </w:p>
    <w:p>
      <w:pPr>
        <w:spacing w:after="0" w:before="0" w:line="240"/>
        <w:ind w:firstLine="240"/>
        <w:jc w:val="both"/>
      </w:pPr>
      <w:r>
        <w:rPr>
          <w:rFonts w:ascii="Times New Roman" w:cs="Times New Roman" w:eastAsia="Times New Roman" w:hAnsi="Times New Roman"/>
          <w:sz w:val="20"/>
          <w:szCs w:val="20"/>
        </w:rPr>
        <w:t xml:space="preserve">A separate line of work addresses the well-documented tendency of abstractive summarizers to hallucinate content not present in the source, especially in the legal domain. Cross-encoder and natural-language-inference-based re-ranking or verification models have been used to score the semantic support between a generated sentence and candidate source passages, providing a post-hoc faithfulness signal. LegalLens adopts the cross-encoder approach, using it to both verify citations at inference time and to align reference summary sentences to sections during training-data construction, rather than relying on the underlying summarizer alone to remain faithful.</w:t>
      </w:r>
    </w:p>
    <w:p>
      <w:pPr>
        <w:pStyle w:val="Heading2"/>
        <w:keepNext/>
        <w:spacing w:after="60" w:before="120"/>
        <w:jc w:val="left"/>
      </w:pPr>
      <w:r>
        <w:rPr>
          <w:rFonts w:ascii="Times New Roman" w:cs="Times New Roman" w:eastAsia="Times New Roman" w:hAnsi="Times New Roman"/>
          <w:i/>
          <w:iCs/>
          <w:sz w:val="20"/>
          <w:szCs w:val="20"/>
        </w:rPr>
        <w:t xml:space="preserve">E. Text Simplification and Legal Lay Summarization</w:t>
      </w:r>
    </w:p>
    <w:p>
      <w:pPr>
        <w:spacing w:after="0" w:before="0" w:line="240"/>
        <w:ind w:firstLine="240"/>
        <w:jc w:val="both"/>
      </w:pPr>
      <w:r>
        <w:rPr>
          <w:rFonts w:ascii="Times New Roman" w:cs="Times New Roman" w:eastAsia="Times New Roman" w:hAnsi="Times New Roman"/>
          <w:sz w:val="20"/>
          <w:szCs w:val="20"/>
        </w:rPr>
        <w:t xml:space="preserve">Work on legal text simplification and plain-language summarization has generally focused on either substituting domain jargon or rewriting sentence structure for readability. Moro et al. [5] explored legal lay summarization using FLAN-T5 and BART-base baselines alongside decoder-only LLMs on their </w:t>
      </w:r>
      <w:r>
        <w:rPr>
          <w:rFonts w:ascii="Times New Roman" w:cs="Times New Roman" w:eastAsia="Times New Roman" w:hAnsi="Times New Roman"/>
          <w:i/>
          <w:iCs/>
          <w:sz w:val="20"/>
          <w:szCs w:val="20"/>
        </w:rPr>
        <w:t xml:space="preserve">LegalEase</w:t>
      </w:r>
      <w:r>
        <w:rPr>
          <w:rFonts w:ascii="Times New Roman" w:cs="Times New Roman" w:eastAsia="Times New Roman" w:hAnsi="Times New Roman"/>
          <w:sz w:val="20"/>
          <w:szCs w:val="20"/>
        </w:rPr>
        <w:t xml:space="preserve"> synthetic dataset, finding that fine-tuned encoder–decoder models offer an optimal balance between quality and cost. However, such simplification pipelines are typically implemented as standalone systems. LegalLens’s Citizen Mode is designed as a second, parallel rendering of the same section-classified content derived from the primary professional summary, ensuring that lay and technical summaries are strictly aligned and factual.</w:t>
      </w:r>
    </w:p>
    <w:p>
      <w:pPr>
        <w:pStyle w:val="Heading2"/>
        <w:keepNext/>
        <w:spacing w:after="60" w:before="120"/>
        <w:jc w:val="left"/>
      </w:pPr>
      <w:r>
        <w:rPr>
          <w:rFonts w:ascii="Times New Roman" w:cs="Times New Roman" w:eastAsia="Times New Roman" w:hAnsi="Times New Roman"/>
          <w:i/>
          <w:iCs/>
          <w:sz w:val="20"/>
          <w:szCs w:val="20"/>
        </w:rPr>
        <w:t xml:space="preserve">F. Existing Legal AI Applications</w:t>
      </w:r>
    </w:p>
    <w:p>
      <w:pPr>
        <w:spacing w:after="0" w:before="0" w:line="240"/>
        <w:ind w:firstLine="240"/>
        <w:jc w:val="both"/>
      </w:pPr>
      <w:r>
        <w:rPr>
          <w:rFonts w:ascii="Times New Roman" w:cs="Times New Roman" w:eastAsia="Times New Roman" w:hAnsi="Times New Roman"/>
          <w:sz w:val="20"/>
          <w:szCs w:val="20"/>
        </w:rPr>
        <w:t xml:space="preserve">Commercial legal tools are beginning to deploy end-to-end automation; for example, Garfield AI [6] operates as a regulator-authorised AI system for handling UK small-claims debt recovery. However, such deployment highlights critical current vulnerabilities: reliance on single-jurisdiction training (UK/US law), assumptions of user legal literacy, and a lack of built-in verification or citation mechanisms to prevent hallucinations. Table 1 summarizes the studies discussed above and their relevance to LegalLens.</w:t>
      </w:r>
    </w:p>
    <w:p>
      <w:pPr>
        <w:keepNext/>
        <w:spacing w:after="60" w:before="120"/>
        <w:jc w:val="center"/>
      </w:pPr>
      <w:r>
        <w:rPr>
          <w:rFonts w:ascii="Times New Roman" w:cs="Times New Roman" w:eastAsia="Times New Roman" w:hAnsi="Times New Roman"/>
          <w:b/>
          <w:bCs/>
          <w:sz w:val="16"/>
          <w:szCs w:val="16"/>
        </w:rPr>
        <w:t xml:space="preserve">TABLE 1. </w:t>
      </w:r>
      <w:r>
        <w:rPr>
          <w:rFonts w:ascii="Times New Roman" w:cs="Times New Roman" w:eastAsia="Times New Roman" w:hAnsi="Times New Roman"/>
          <w:sz w:val="16"/>
          <w:szCs w:val="16"/>
        </w:rPr>
        <w:t xml:space="preserve">Summary of related studies and their relevance to LegalLens.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940"/>
      </w:tblGrid>
      <w:tr>
        <w:trPr>
          <w:cantSplit/>
          <w:tblHeader/>
        </w:trPr>
        <w:tc>
          <w:tcPr>
            <w:tcW w:type="dxa" w:w="900"/>
            <w:tcBorders>
              <w:top w:val="single" w:color="000000" w:sz="8"/>
              <w:left w:val="none" w:color="FFFFFF" w:sz="0"/>
              <w:bottom w:val="single" w:color="000000" w:sz="8"/>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bCs/>
                <w:sz w:val="16"/>
                <w:szCs w:val="16"/>
              </w:rPr>
              <w:t xml:space="preserve">Study</w:t>
            </w:r>
          </w:p>
        </w:tc>
        <w:tc>
          <w:tcPr>
            <w:tcW w:type="dxa" w:w="2200"/>
            <w:tcBorders>
              <w:top w:val="single" w:color="000000" w:sz="8"/>
              <w:left w:val="none" w:color="FFFFFF" w:sz="0"/>
              <w:bottom w:val="single" w:color="000000" w:sz="8"/>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bCs/>
                <w:sz w:val="16"/>
                <w:szCs w:val="16"/>
              </w:rPr>
              <w:t xml:space="preserve">Model / design</w:t>
            </w:r>
          </w:p>
        </w:tc>
        <w:tc>
          <w:tcPr>
            <w:tcW w:type="dxa" w:w="1940"/>
            <w:tcBorders>
              <w:top w:val="single" w:color="000000" w:sz="8"/>
              <w:left w:val="none" w:color="FFFFFF" w:sz="0"/>
              <w:bottom w:val="single" w:color="000000" w:sz="8"/>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bCs/>
                <w:sz w:val="16"/>
                <w:szCs w:val="16"/>
              </w:rPr>
              <w:t xml:space="preserve">Relevance to LegalLens</w:t>
            </w:r>
          </w:p>
        </w:tc>
      </w:tr>
      <w:tr>
        <w:trPr>
          <w:cantSplit/>
        </w:trPr>
        <w:tc>
          <w:tcPr>
            <w:tcW w:type="dxa" w:w="9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Patel et al. [1]</w:t>
            </w:r>
          </w:p>
        </w:tc>
        <w:tc>
          <w:tcPr>
            <w:tcW w:type="dxa" w:w="22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TextRank + BART-Large-CNN; LoRA LLaMA-2 7B</w:t>
            </w:r>
          </w:p>
        </w:tc>
        <w:tc>
          <w:tcPr>
            <w:tcW w:type="dxa" w:w="194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Hybrid grounding; BART as generator</w:t>
            </w:r>
          </w:p>
        </w:tc>
      </w:tr>
      <w:tr>
        <w:trPr>
          <w:cantSplit/>
        </w:trPr>
        <w:tc>
          <w:tcPr>
            <w:tcW w:type="dxa" w:w="9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Ansar et al. [2]</w:t>
            </w:r>
          </w:p>
        </w:tc>
        <w:tc>
          <w:tcPr>
            <w:tcW w:type="dxa" w:w="22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Graph extraction, then PEGASUS / BART / Gemini / LLaMA</w:t>
            </w:r>
          </w:p>
        </w:tc>
        <w:tc>
          <w:tcPr>
            <w:tcW w:type="dxa" w:w="194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Long-document compression; expert evaluation</w:t>
            </w:r>
          </w:p>
        </w:tc>
      </w:tr>
      <w:tr>
        <w:trPr>
          <w:cantSplit/>
        </w:trPr>
        <w:tc>
          <w:tcPr>
            <w:tcW w:type="dxa" w:w="9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Nazly &amp; Yapa [3]</w:t>
            </w:r>
          </w:p>
        </w:tc>
        <w:tc>
          <w:tcPr>
            <w:tcW w:type="dxa" w:w="22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Survey of Transformer and LLM methods</w:t>
            </w:r>
          </w:p>
        </w:tc>
        <w:tc>
          <w:tcPr>
            <w:tcW w:type="dxa" w:w="194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Structure, citations, traceability</w:t>
            </w:r>
          </w:p>
        </w:tc>
      </w:tr>
      <w:tr>
        <w:trPr>
          <w:cantSplit/>
        </w:trPr>
        <w:tc>
          <w:tcPr>
            <w:tcW w:type="dxa" w:w="9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He et al. [4]</w:t>
            </w:r>
          </w:p>
        </w:tc>
        <w:tc>
          <w:tcPr>
            <w:tcW w:type="dxa" w:w="22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Survey of general and legal LLMs</w:t>
            </w:r>
          </w:p>
        </w:tc>
        <w:tc>
          <w:tcPr>
            <w:tcW w:type="dxa" w:w="194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Domain adaptation and benchmarks</w:t>
            </w:r>
          </w:p>
        </w:tc>
      </w:tr>
      <w:tr>
        <w:trPr>
          <w:cantSplit/>
        </w:trPr>
        <w:tc>
          <w:tcPr>
            <w:tcW w:type="dxa" w:w="900"/>
            <w:tcBorders>
              <w:top w:val="none" w:color="FFFFFF" w:sz="0"/>
              <w:left w:val="none" w:color="FFFFFF" w:sz="0"/>
              <w:bottom w:val="single" w:color="000000" w:sz="8"/>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Moro et al. [5]</w:t>
            </w:r>
          </w:p>
        </w:tc>
        <w:tc>
          <w:tcPr>
            <w:tcW w:type="dxa" w:w="2200"/>
            <w:tcBorders>
              <w:top w:val="none" w:color="FFFFFF" w:sz="0"/>
              <w:left w:val="none" w:color="FFFFFF" w:sz="0"/>
              <w:bottom w:val="single" w:color="000000" w:sz="8"/>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BART-base, FLAN-T5-base, decoder-only LLMs; LegalEase data</w:t>
            </w:r>
          </w:p>
        </w:tc>
        <w:tc>
          <w:tcPr>
            <w:tcW w:type="dxa" w:w="1940"/>
            <w:tcBorders>
              <w:top w:val="none" w:color="FFFFFF" w:sz="0"/>
              <w:left w:val="none" w:color="FFFFFF" w:sz="0"/>
              <w:bottom w:val="single" w:color="000000" w:sz="8"/>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Audience-specific (Citizen) output</w:t>
            </w:r>
          </w:p>
        </w:tc>
      </w:tr>
    </w:tbl>
    <w:p>
      <w:pPr>
        <w:spacing w:after="60" w:before="0"/>
      </w:pPr>
    </w:p>
    <w:p>
      <w:pPr>
        <w:pStyle w:val="Heading1"/>
        <w:keepNext/>
        <w:spacing w:after="80" w:before="200"/>
        <w:jc w:val="center"/>
      </w:pPr>
      <w:r>
        <w:rPr>
          <w:rFonts w:ascii="Times New Roman" w:cs="Times New Roman" w:eastAsia="Times New Roman" w:hAnsi="Times New Roman"/>
          <w:caps/>
          <w:sz w:val="20"/>
          <w:szCs w:val="20"/>
        </w:rPr>
        <w:t xml:space="preserve">III. Methodology</w:t>
      </w:r>
    </w:p>
    <w:p>
      <w:pPr>
        <w:spacing w:after="0" w:before="0" w:line="240"/>
        <w:ind w:firstLine="240"/>
        <w:jc w:val="both"/>
      </w:pPr>
      <w:r>
        <w:rPr>
          <w:rFonts w:ascii="Times New Roman" w:cs="Times New Roman" w:eastAsia="Times New Roman" w:hAnsi="Times New Roman"/>
          <w:sz w:val="20"/>
          <w:szCs w:val="20"/>
        </w:rPr>
        <w:t xml:space="preserve">LegalLens is implemented as a nine-stage pipeline—preprocessing, PII redaction, section detection, chunking, summarization, aggregation, mode formatting, citation verification, and (for training-data construction) section-summary alignment—exposed through a FastAPI HTTP service, a command-line interface, and a Gradio demo application. The overall architecture is shown in Fig. 1.</w:t>
      </w:r>
    </w:p>
    <w:p>
      <w:pPr>
        <w:sectPr>
          <w:type w:val="continuous"/>
          <w:pgSz w:w="12240" w:h="15840" w:orient="portrait"/>
          <w:pgMar w:top="1080" w:right="900" w:bottom="1080" w:left="900" w:header="500" w:footer="500" w:gutter="0"/>
          <w:pgNumType/>
          <w:cols w:space="360" w:num="2" w:equalWidth="true"/>
          <w:titlePg w:val="false"/>
          <w:docGrid w:linePitch="360"/>
        </w:sectPr>
      </w:pPr>
    </w:p>
    <w:p>
      <w:pPr>
        <w:keepNext/>
        <w:spacing w:before="60"/>
        <w:jc w:val="center"/>
      </w:pPr>
      <w:r>
        <w:drawing>
          <wp:inline distT="0" distB="0" distL="0" distR="0">
            <wp:extent cx="4800600" cy="3409950"/>
            <wp:effectExtent t="0" r="0" b="0" l="0"/>
            <wp:docPr id="1" name="fig1" descr="Block diagram of the LegalLens pipeline from court judgment to verified dual-mode summary" title="LegalLen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00600" cy="3409950"/>
                    </a:xfrm>
                    <a:prstGeom prst="rect">
                      <a:avLst/>
                    </a:prstGeom>
                  </pic:spPr>
                </pic:pic>
              </a:graphicData>
            </a:graphic>
          </wp:inline>
        </w:drawing>
      </w:r>
    </w:p>
    <w:p>
      <w:pPr>
        <w:keepNext w:val="false"/>
        <w:spacing w:after="60" w:before="120"/>
        <w:jc w:val="center"/>
      </w:pPr>
      <w:r>
        <w:rPr>
          <w:rFonts w:ascii="Times New Roman" w:cs="Times New Roman" w:eastAsia="Times New Roman" w:hAnsi="Times New Roman"/>
          <w:b/>
          <w:bCs/>
          <w:sz w:val="16"/>
          <w:szCs w:val="16"/>
        </w:rPr>
        <w:t xml:space="preserve">FIGURE 1. </w:t>
      </w:r>
      <w:r>
        <w:rPr>
          <w:rFonts w:ascii="Times New Roman" w:cs="Times New Roman" w:eastAsia="Times New Roman" w:hAnsi="Times New Roman"/>
          <w:sz w:val="16"/>
          <w:szCs w:val="16"/>
        </w:rPr>
        <w:t xml:space="preserve">Overall architecture of the LegalLens pipeline. Teal: pipeline stage; purple: shared cross-encoder; dashed: training time only.</w:t>
      </w:r>
    </w:p>
    <w:p>
      <w:pPr>
        <w:sectPr>
          <w:type w:val="continuous"/>
          <w:pgSz w:w="12240" w:h="15840" w:orient="portrait"/>
          <w:pgMar w:top="1080" w:right="900" w:bottom="1080" w:left="900" w:header="500" w:footer="500" w:gutter="0"/>
          <w:pgNumType/>
          <w:cols w:num="1"/>
          <w:titlePg w:val="false"/>
          <w:docGrid w:linePitch="360"/>
        </w:sectPr>
      </w:pPr>
    </w:p>
    <w:p>
      <w:pPr>
        <w:pStyle w:val="Heading2"/>
        <w:keepNext/>
        <w:spacing w:after="60" w:before="120"/>
        <w:jc w:val="left"/>
      </w:pPr>
      <w:r>
        <w:rPr>
          <w:rFonts w:ascii="Times New Roman" w:cs="Times New Roman" w:eastAsia="Times New Roman" w:hAnsi="Times New Roman"/>
          <w:i/>
          <w:iCs/>
          <w:sz w:val="20"/>
          <w:szCs w:val="20"/>
        </w:rPr>
        <w:t xml:space="preserve">A. Dataset Description</w:t>
      </w:r>
    </w:p>
    <w:p>
      <w:pPr>
        <w:spacing w:after="0" w:before="0" w:line="240"/>
        <w:ind w:firstLine="240"/>
        <w:jc w:val="both"/>
      </w:pPr>
      <w:r>
        <w:rPr>
          <w:rFonts w:ascii="Times New Roman" w:cs="Times New Roman" w:eastAsia="Times New Roman" w:hAnsi="Times New Roman"/>
          <w:sz w:val="20"/>
          <w:szCs w:val="20"/>
        </w:rPr>
        <w:t xml:space="preserve">LegalLens draws on three external corpora and one internally constructed gold set, each serving a distinct role in the pipeline. The MARRO corpus provides sentence-level rhetorical-role annotations for Indian Supreme Court judgments, with each sentence tagged as one of several roles (e.g., facts, precedent, statute, ratio, and final order); because its argument-related tag does not distinguish between the appellant and the respondent, it is used to train the coarser facts, reasoning, and judgement classes but is excluded from training the appellant-versus-respondent distinction. The OpenNyAI InRhetoricalRoles dataset, obtained from the Hugging Face Hub, supplies a finer thirteen-role annotation scheme for Indian legal judgments and, critically, is the only corpus in this study that separately labels petitioner and respondent arguments; both corpora are mapped onto a common five-class taxonomy—Facts, Appellant’s Arguments, Respondent’s Arguments, Reasoning, and Judgement—and combined to train the section classifier. The IN-Abs dataset provides full-length Indian Supreme Court judgments paired with headnote-style abstractive reference summaries; it is used both as the source of the zero-shot summarization baseline and, via the section-summary alignment procedure described in Section III-G, as the basis for constructing section-specific training targets. Finally, an internally annotated gold set of 240 paragraphs, independently labelled by two human annotators and cross-checked against a third annotation pass, is used exclusively for held-out evaluation of the section classifier, with a paragraph retained as trusted gold only where two of the three annotations agree.</w:t>
      </w:r>
    </w:p>
    <w:p>
      <w:pPr>
        <w:spacing w:after="0" w:before="0" w:line="240"/>
        <w:ind w:firstLine="240"/>
        <w:jc w:val="both"/>
      </w:pPr>
      <w:r>
        <w:rPr>
          <w:rFonts w:ascii="Times New Roman" w:cs="Times New Roman" w:eastAsia="Times New Roman" w:hAnsi="Times New Roman"/>
          <w:sz w:val="20"/>
          <w:szCs w:val="20"/>
        </w:rPr>
        <w:t xml:space="preserve">The IN-Abs dataset used in this study is available through the IEEE DataPort repository, </w:t>
      </w:r>
      <w:r>
        <w:rPr>
          <w:rFonts w:ascii="Times New Roman" w:cs="Times New Roman" w:eastAsia="Times New Roman" w:hAnsi="Times New Roman"/>
          <w:i/>
          <w:iCs/>
          <w:sz w:val="20"/>
          <w:szCs w:val="20"/>
        </w:rPr>
        <w:t xml:space="preserve">Indian Legal Documents Summaries</w:t>
      </w:r>
      <w:r>
        <w:rPr>
          <w:rFonts w:ascii="Times New Roman" w:cs="Times New Roman" w:eastAsia="Times New Roman" w:hAnsi="Times New Roman"/>
          <w:sz w:val="20"/>
          <w:szCs w:val="20"/>
        </w:rPr>
        <w:t xml:space="preserve"> [7]. The processed dataset generated by our pipeline is available on Hugging Face [8].</w:t>
      </w:r>
    </w:p>
    <w:p>
      <w:pPr>
        <w:pStyle w:val="Heading2"/>
        <w:keepNext/>
        <w:spacing w:after="60" w:before="120"/>
        <w:jc w:val="left"/>
      </w:pPr>
      <w:r>
        <w:rPr>
          <w:rFonts w:ascii="Times New Roman" w:cs="Times New Roman" w:eastAsia="Times New Roman" w:hAnsi="Times New Roman"/>
          <w:i/>
          <w:iCs/>
          <w:sz w:val="20"/>
          <w:szCs w:val="20"/>
        </w:rPr>
        <w:t xml:space="preserve">B. Dataset Analysis</w:t>
      </w:r>
    </w:p>
    <w:p>
      <w:pPr>
        <w:spacing w:after="0" w:before="0" w:line="240"/>
        <w:ind w:firstLine="240"/>
        <w:jc w:val="both"/>
      </w:pPr>
      <w:r>
        <w:rPr>
          <w:rFonts w:ascii="Times New Roman" w:cs="Times New Roman" w:eastAsia="Times New Roman" w:hAnsi="Times New Roman"/>
          <w:sz w:val="20"/>
          <w:szCs w:val="20"/>
        </w:rPr>
        <w:t xml:space="preserve">To support rhetorical-role-aware summarization, the source documents are processed into section-labelled chunks, and reference-summary sentences are aligned with candidate chunks using a cross-encoder. The resulting dataset is analysed in terms of record distribution across rhetorical sections, input and target lengths, and alignment coverage (Table 2).</w:t>
      </w:r>
    </w:p>
    <w:p>
      <w:pPr>
        <w:spacing w:after="0" w:before="0" w:line="240"/>
        <w:ind w:firstLine="240"/>
        <w:jc w:val="both"/>
      </w:pPr>
      <w:r>
        <w:rPr>
          <w:rFonts w:ascii="Times New Roman" w:cs="Times New Roman" w:eastAsia="Times New Roman" w:hAnsi="Times New Roman"/>
          <w:sz w:val="20"/>
          <w:szCs w:val="20"/>
        </w:rPr>
        <w:t xml:space="preserve">The section-wise distribution helps identify whether the constructed dataset adequately represents all five rhetorical roles. Input and target length statistics provide insight into the suitability of the records for transformer-based summarization. Alignment coverage is assessed using the proportion of reference-summary sentences assigned to at least one candidate section, the proportion left unassigned, and the frequency of multi-label assignments.</w:t>
      </w:r>
    </w:p>
    <w:p>
      <w:pPr>
        <w:spacing w:after="0" w:before="0" w:line="240"/>
        <w:ind w:firstLine="240"/>
        <w:jc w:val="both"/>
      </w:pPr>
      <w:r>
        <w:rPr>
          <w:rFonts w:ascii="Times New Roman" w:cs="Times New Roman" w:eastAsia="Times New Roman" w:hAnsi="Times New Roman"/>
          <w:sz w:val="20"/>
          <w:szCs w:val="20"/>
        </w:rPr>
        <w:t xml:space="preserve">Since the reference summaries are document-level rather than section-level, the generated chunk-level targets are treated as automatically aligned pseudo-targets rather than manually verified ground truth. Consequently, alignment statistics indicate the behaviour of the data-construction procedure and should not, by themselves, be interpreted as a measure of factual correctness.</w:t>
      </w:r>
    </w:p>
    <w:p>
      <w:pPr>
        <w:keepNext/>
        <w:spacing w:after="60" w:before="120"/>
        <w:jc w:val="center"/>
      </w:pPr>
      <w:r>
        <w:rPr>
          <w:rFonts w:ascii="Times New Roman" w:cs="Times New Roman" w:eastAsia="Times New Roman" w:hAnsi="Times New Roman"/>
          <w:b/>
          <w:bCs/>
          <w:sz w:val="16"/>
          <w:szCs w:val="16"/>
        </w:rPr>
        <w:t xml:space="preserve">TABLE 2. </w:t>
      </w:r>
      <w:r>
        <w:rPr>
          <w:rFonts w:ascii="Times New Roman" w:cs="Times New Roman" w:eastAsia="Times New Roman" w:hAnsi="Times New Roman"/>
          <w:sz w:val="16"/>
          <w:szCs w:val="16"/>
        </w:rPr>
        <w:t xml:space="preserve">Statistics of the constructed section-aligned dataset.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640"/>
        <w:gridCol w:w="1200"/>
        <w:gridCol w:w="1200"/>
      </w:tblGrid>
      <w:tr>
        <w:trPr>
          <w:cantSplit/>
          <w:tblHeader/>
        </w:trPr>
        <w:tc>
          <w:tcPr>
            <w:tcW w:type="dxa" w:w="2640"/>
            <w:tcBorders>
              <w:top w:val="single" w:color="000000" w:sz="8"/>
              <w:left w:val="none" w:color="FFFFFF" w:sz="0"/>
              <w:bottom w:val="single" w:color="000000" w:sz="8"/>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bCs/>
                <w:sz w:val="16"/>
                <w:szCs w:val="16"/>
              </w:rPr>
              <w:t xml:space="preserve">Metric</w:t>
            </w:r>
          </w:p>
        </w:tc>
        <w:tc>
          <w:tcPr>
            <w:tcW w:type="dxa" w:w="1200"/>
            <w:tcBorders>
              <w:top w:val="single" w:color="000000" w:sz="8"/>
              <w:left w:val="none" w:color="FFFFFF" w:sz="0"/>
              <w:bottom w:val="single" w:color="000000" w:sz="8"/>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bCs/>
                <w:sz w:val="16"/>
                <w:szCs w:val="16"/>
              </w:rPr>
              <w:t xml:space="preserve">Training data</w:t>
            </w:r>
          </w:p>
        </w:tc>
        <w:tc>
          <w:tcPr>
            <w:tcW w:type="dxa" w:w="1200"/>
            <w:tcBorders>
              <w:top w:val="single" w:color="000000" w:sz="8"/>
              <w:left w:val="none" w:color="FFFFFF" w:sz="0"/>
              <w:bottom w:val="single" w:color="000000" w:sz="8"/>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bCs/>
                <w:sz w:val="16"/>
                <w:szCs w:val="16"/>
              </w:rPr>
              <w:t xml:space="preserve">Test data</w:t>
            </w:r>
          </w:p>
        </w:tc>
      </w:tr>
      <w:tr>
        <w:trPr>
          <w:cantSplit/>
        </w:trPr>
        <w:tc>
          <w:tcPr>
            <w:tcW w:type="dxa" w:w="264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Source judgments processed</w:t>
            </w:r>
          </w:p>
        </w:tc>
        <w:tc>
          <w:tcPr>
            <w:tcW w:type="dxa" w:w="12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right"/>
            </w:pPr>
            <w:r>
              <w:rPr>
                <w:rFonts w:ascii="Times New Roman" w:cs="Times New Roman" w:eastAsia="Times New Roman" w:hAnsi="Times New Roman"/>
                <w:b w:val="false"/>
                <w:bCs w:val="false"/>
                <w:sz w:val="16"/>
                <w:szCs w:val="16"/>
              </w:rPr>
              <w:t xml:space="preserve">200</w:t>
            </w:r>
          </w:p>
        </w:tc>
        <w:tc>
          <w:tcPr>
            <w:tcW w:type="dxa" w:w="12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right"/>
            </w:pPr>
            <w:r>
              <w:rPr>
                <w:rFonts w:ascii="Times New Roman" w:cs="Times New Roman" w:eastAsia="Times New Roman" w:hAnsi="Times New Roman"/>
                <w:b w:val="false"/>
                <w:bCs w:val="false"/>
                <w:sz w:val="16"/>
                <w:szCs w:val="16"/>
              </w:rPr>
              <w:t xml:space="preserve">100</w:t>
            </w:r>
          </w:p>
        </w:tc>
      </w:tr>
      <w:tr>
        <w:trPr>
          <w:cantSplit/>
        </w:trPr>
        <w:tc>
          <w:tcPr>
            <w:tcW w:type="dxa" w:w="264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Retained chunk-level records</w:t>
            </w:r>
          </w:p>
        </w:tc>
        <w:tc>
          <w:tcPr>
            <w:tcW w:type="dxa" w:w="12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right"/>
            </w:pPr>
            <w:r>
              <w:rPr>
                <w:rFonts w:ascii="Times New Roman" w:cs="Times New Roman" w:eastAsia="Times New Roman" w:hAnsi="Times New Roman"/>
                <w:b w:val="false"/>
                <w:bCs w:val="false"/>
                <w:sz w:val="16"/>
                <w:szCs w:val="16"/>
              </w:rPr>
              <w:t xml:space="preserve">1,287</w:t>
            </w:r>
          </w:p>
        </w:tc>
        <w:tc>
          <w:tcPr>
            <w:tcW w:type="dxa" w:w="12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right"/>
            </w:pPr>
            <w:r>
              <w:rPr>
                <w:rFonts w:ascii="Times New Roman" w:cs="Times New Roman" w:eastAsia="Times New Roman" w:hAnsi="Times New Roman"/>
                <w:b w:val="false"/>
                <w:bCs w:val="false"/>
                <w:sz w:val="16"/>
                <w:szCs w:val="16"/>
              </w:rPr>
              <w:t xml:space="preserve">675</w:t>
            </w:r>
          </w:p>
        </w:tc>
      </w:tr>
      <w:tr>
        <w:trPr>
          <w:cantSplit/>
        </w:trPr>
        <w:tc>
          <w:tcPr>
            <w:tcW w:type="dxa" w:w="264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Chunks created</w:t>
            </w:r>
          </w:p>
        </w:tc>
        <w:tc>
          <w:tcPr>
            <w:tcW w:type="dxa" w:w="12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right"/>
            </w:pPr>
            <w:r>
              <w:rPr>
                <w:rFonts w:ascii="Times New Roman" w:cs="Times New Roman" w:eastAsia="Times New Roman" w:hAnsi="Times New Roman"/>
                <w:b w:val="false"/>
                <w:bCs w:val="false"/>
                <w:sz w:val="16"/>
                <w:szCs w:val="16"/>
              </w:rPr>
              <w:t xml:space="preserve">1,623</w:t>
            </w:r>
          </w:p>
        </w:tc>
        <w:tc>
          <w:tcPr>
            <w:tcW w:type="dxa" w:w="12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right"/>
            </w:pPr>
            <w:r>
              <w:rPr>
                <w:rFonts w:ascii="Times New Roman" w:cs="Times New Roman" w:eastAsia="Times New Roman" w:hAnsi="Times New Roman"/>
                <w:b w:val="false"/>
                <w:bCs w:val="false"/>
                <w:sz w:val="16"/>
                <w:szCs w:val="16"/>
              </w:rPr>
              <w:t xml:space="preserve">876</w:t>
            </w:r>
          </w:p>
        </w:tc>
      </w:tr>
      <w:tr>
        <w:trPr>
          <w:cantSplit/>
        </w:trPr>
        <w:tc>
          <w:tcPr>
            <w:tcW w:type="dxa" w:w="264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Summary sentences aligned</w:t>
            </w:r>
          </w:p>
        </w:tc>
        <w:tc>
          <w:tcPr>
            <w:tcW w:type="dxa" w:w="12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right"/>
            </w:pPr>
            <w:r>
              <w:rPr>
                <w:rFonts w:ascii="Times New Roman" w:cs="Times New Roman" w:eastAsia="Times New Roman" w:hAnsi="Times New Roman"/>
                <w:b w:val="false"/>
                <w:bCs w:val="false"/>
                <w:sz w:val="16"/>
                <w:szCs w:val="16"/>
              </w:rPr>
              <w:t xml:space="preserve">4,365</w:t>
            </w:r>
          </w:p>
        </w:tc>
        <w:tc>
          <w:tcPr>
            <w:tcW w:type="dxa" w:w="12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right"/>
            </w:pPr>
            <w:r>
              <w:rPr>
                <w:rFonts w:ascii="Times New Roman" w:cs="Times New Roman" w:eastAsia="Times New Roman" w:hAnsi="Times New Roman"/>
                <w:b w:val="false"/>
                <w:bCs w:val="false"/>
                <w:sz w:val="16"/>
                <w:szCs w:val="16"/>
              </w:rPr>
              <w:t xml:space="preserve">2,236</w:t>
            </w:r>
          </w:p>
        </w:tc>
      </w:tr>
      <w:tr>
        <w:trPr>
          <w:cantSplit/>
        </w:trPr>
        <w:tc>
          <w:tcPr>
            <w:tcW w:type="dxa" w:w="2640"/>
            <w:tcBorders>
              <w:top w:val="none" w:color="FFFFFF" w:sz="0"/>
              <w:left w:val="none" w:color="FFFFFF" w:sz="0"/>
              <w:bottom w:val="single" w:color="000000" w:sz="8"/>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Summary sentences unassigned</w:t>
            </w:r>
          </w:p>
        </w:tc>
        <w:tc>
          <w:tcPr>
            <w:tcW w:type="dxa" w:w="1200"/>
            <w:tcBorders>
              <w:top w:val="none" w:color="FFFFFF" w:sz="0"/>
              <w:left w:val="none" w:color="FFFFFF" w:sz="0"/>
              <w:bottom w:val="single" w:color="000000" w:sz="8"/>
              <w:right w:val="none" w:color="FFFFFF" w:sz="0"/>
            </w:tcBorders>
            <w:tcMar>
              <w:top w:type="dxa" w:w="30"/>
              <w:left w:type="dxa" w:w="60"/>
              <w:bottom w:type="dxa" w:w="30"/>
              <w:right w:type="dxa" w:w="60"/>
            </w:tcMar>
          </w:tcPr>
          <w:p>
            <w:pPr>
              <w:keepNext w:val="false"/>
              <w:spacing w:line="220"/>
              <w:jc w:val="right"/>
            </w:pPr>
            <w:r>
              <w:rPr>
                <w:rFonts w:ascii="Times New Roman" w:cs="Times New Roman" w:eastAsia="Times New Roman" w:hAnsi="Times New Roman"/>
                <w:b w:val="false"/>
                <w:bCs w:val="false"/>
                <w:sz w:val="16"/>
                <w:szCs w:val="16"/>
              </w:rPr>
              <w:t xml:space="preserve">1,047</w:t>
            </w:r>
          </w:p>
        </w:tc>
        <w:tc>
          <w:tcPr>
            <w:tcW w:type="dxa" w:w="1200"/>
            <w:tcBorders>
              <w:top w:val="none" w:color="FFFFFF" w:sz="0"/>
              <w:left w:val="none" w:color="FFFFFF" w:sz="0"/>
              <w:bottom w:val="single" w:color="000000" w:sz="8"/>
              <w:right w:val="none" w:color="FFFFFF" w:sz="0"/>
            </w:tcBorders>
            <w:tcMar>
              <w:top w:type="dxa" w:w="30"/>
              <w:left w:type="dxa" w:w="60"/>
              <w:bottom w:type="dxa" w:w="30"/>
              <w:right w:type="dxa" w:w="60"/>
            </w:tcMar>
          </w:tcPr>
          <w:p>
            <w:pPr>
              <w:keepNext w:val="false"/>
              <w:spacing w:line="220"/>
              <w:jc w:val="right"/>
            </w:pPr>
            <w:r>
              <w:rPr>
                <w:rFonts w:ascii="Times New Roman" w:cs="Times New Roman" w:eastAsia="Times New Roman" w:hAnsi="Times New Roman"/>
                <w:b w:val="false"/>
                <w:bCs w:val="false"/>
                <w:sz w:val="16"/>
                <w:szCs w:val="16"/>
              </w:rPr>
              <w:t xml:space="preserve">534</w:t>
            </w:r>
          </w:p>
        </w:tc>
      </w:tr>
    </w:tbl>
    <w:p>
      <w:pPr>
        <w:spacing w:after="60" w:before="0"/>
      </w:pPr>
    </w:p>
    <w:p>
      <w:pPr>
        <w:pStyle w:val="Heading2"/>
        <w:keepNext/>
        <w:spacing w:after="60" w:before="120"/>
        <w:jc w:val="left"/>
      </w:pPr>
      <w:r>
        <w:rPr>
          <w:rFonts w:ascii="Times New Roman" w:cs="Times New Roman" w:eastAsia="Times New Roman" w:hAnsi="Times New Roman"/>
          <w:i/>
          <w:iCs/>
          <w:sz w:val="20"/>
          <w:szCs w:val="20"/>
        </w:rPr>
        <w:t xml:space="preserve">C. Preprocessing and PII Redaction</w:t>
      </w:r>
    </w:p>
    <w:p>
      <w:pPr>
        <w:spacing w:after="0" w:before="0" w:line="240"/>
        <w:ind w:firstLine="240"/>
        <w:jc w:val="both"/>
      </w:pPr>
      <w:r>
        <w:rPr>
          <w:rFonts w:ascii="Times New Roman" w:cs="Times New Roman" w:eastAsia="Times New Roman" w:hAnsi="Times New Roman"/>
          <w:sz w:val="20"/>
          <w:szCs w:val="20"/>
        </w:rPr>
        <w:t xml:space="preserve">Raw judgment text is first normalized (line-ending and whitespace normalization, quote normalization) and stripped of case-caption and counsel-listing preamble using pattern markers such as the onset of the judgment body. Paragraph segmentation handles both conventionally formatted judgments, which use blank lines between paragraphs, and single-newline-formatted judgments such as those in IN-Abs, falling back to single-newline splitting where blank-line segmentation would otherwise collapse an entire document into one paragraph. Before any summarization occurs, the pipeline redacts personally identifiable information—Aadhaar numbers, PAN numbers, phone numbers, and email addresses—using regular-expression pattern matching, with an optional named-entity-recognition-based redaction of person names.</w:t>
      </w:r>
    </w:p>
    <w:p>
      <w:pPr>
        <w:pStyle w:val="Heading2"/>
        <w:keepNext/>
        <w:spacing w:after="60" w:before="120"/>
        <w:jc w:val="left"/>
      </w:pPr>
      <w:r>
        <w:rPr>
          <w:rFonts w:ascii="Times New Roman" w:cs="Times New Roman" w:eastAsia="Times New Roman" w:hAnsi="Times New Roman"/>
          <w:i/>
          <w:iCs/>
          <w:sz w:val="20"/>
          <w:szCs w:val="20"/>
        </w:rPr>
        <w:t xml:space="preserve">D. Rhetorical Section Detection</w:t>
      </w:r>
    </w:p>
    <w:p>
      <w:pPr>
        <w:spacing w:after="0" w:before="0" w:line="240"/>
        <w:ind w:firstLine="240"/>
        <w:jc w:val="both"/>
      </w:pPr>
      <w:r>
        <w:rPr>
          <w:rFonts w:ascii="Times New Roman" w:cs="Times New Roman" w:eastAsia="Times New Roman" w:hAnsi="Times New Roman"/>
          <w:sz w:val="20"/>
          <w:szCs w:val="20"/>
        </w:rPr>
        <w:t xml:space="preserve">Each paragraph is classified into one of the five rhetorical roles using a hybrid approach. A rule-based classifier applies section-specific regular expression patterns (for example, phrases indicating factual narration versus phrases indicating an appeal being allowed or dismissed) combined with positional heuristics, since facts typically appear early in a judgment and the final order typically appears near the end; this classifier serves as a fallback when no learned model is available. The primary classifier is a TF-IDF vectorizer (unigrams and bigrams, sublinear term-frequency scaling) combined with normalized paragraph-position features, feeding a logistic regression model trained with balanced class weights on the combined MARRO and OpenNyAI InRhetoricalRoles corpora. If the learned classifier judges a document to be degenerate—one section accounting for the overwhelming majority of paragraphs—the entire document is conservatively treated as a single Reasoning section rather than trusting an unreliable split.</w:t>
      </w:r>
    </w:p>
    <w:p>
      <w:pPr>
        <w:pStyle w:val="Heading2"/>
        <w:keepNext/>
        <w:spacing w:after="60" w:before="120"/>
        <w:jc w:val="left"/>
      </w:pPr>
      <w:r>
        <w:rPr>
          <w:rFonts w:ascii="Times New Roman" w:cs="Times New Roman" w:eastAsia="Times New Roman" w:hAnsi="Times New Roman"/>
          <w:i/>
          <w:iCs/>
          <w:sz w:val="20"/>
          <w:szCs w:val="20"/>
        </w:rPr>
        <w:t xml:space="preserve">E. Section-Aware Chunking and Summarization</w:t>
      </w:r>
    </w:p>
    <w:p>
      <w:pPr>
        <w:spacing w:after="0" w:before="0" w:line="240"/>
        <w:ind w:firstLine="240"/>
        <w:jc w:val="both"/>
      </w:pPr>
      <w:r>
        <w:rPr>
          <w:rFonts w:ascii="Times New Roman" w:cs="Times New Roman" w:eastAsia="Times New Roman" w:hAnsi="Times New Roman"/>
          <w:sz w:val="20"/>
          <w:szCs w:val="20"/>
        </w:rPr>
        <w:t xml:space="preserve">Because transformer summarization models have a bounded input length, each rhetorical section is split into overlapping chunks of approximately 850 tokens with a 100-token overlap, up to a maximum number of chunks per document, with any excess allocated proportionally across sections so that no section is dropped entirely. Each chunk is summarized independently using BART, with section-specific generation profiles that vary target summary length by rhetorical role—for instance, allowing longer output for the Reasoning section, which typically carries the court’s substantive holding, and shorter output for the Judgement section, which is usually a terse operative order. Chunk-level summaries within a section are then merged and deduplicated to remove sentences repeated due to chunk overlap, and the aggregated per-section content is formatted into the two output modes: a structured Lawyer Mode summary ordered Facts, Appellant’s Arguments, Respondent’s Arguments, Reasoning, Judgement and trimmed to a 500–700 word budget, and a Citizen Mode summary that additionally passes each section through a jargon-substitution step—replacing or, where substitution would distort meaning, glossing legal terminology—and trims to a 150–250 word budget.</w:t>
      </w:r>
    </w:p>
    <w:p>
      <w:pPr>
        <w:pStyle w:val="Heading2"/>
        <w:keepNext/>
        <w:spacing w:after="60" w:before="120"/>
        <w:jc w:val="left"/>
      </w:pPr>
      <w:r>
        <w:rPr>
          <w:rFonts w:ascii="Times New Roman" w:cs="Times New Roman" w:eastAsia="Times New Roman" w:hAnsi="Times New Roman"/>
          <w:i/>
          <w:iCs/>
          <w:sz w:val="20"/>
          <w:szCs w:val="20"/>
        </w:rPr>
        <w:t xml:space="preserve">F. Citation Verification</w:t>
      </w:r>
    </w:p>
    <w:p>
      <w:pPr>
        <w:spacing w:after="0" w:before="0" w:line="240"/>
        <w:ind w:firstLine="240"/>
        <w:jc w:val="both"/>
      </w:pPr>
      <w:r>
        <w:rPr>
          <w:rFonts w:ascii="Times New Roman" w:cs="Times New Roman" w:eastAsia="Times New Roman" w:hAnsi="Times New Roman"/>
          <w:sz w:val="20"/>
          <w:szCs w:val="20"/>
        </w:rPr>
        <w:t xml:space="preserve">To guard against unsupported or hallucinated content, every generated summary sentence is scored against every source chunk using a pretrained cross-encoder sentence-similarity model, and the best-matching source chunk is attached to that sentence as its citation. A sentence is marked verified above one similarity threshold and high-confidence above a stricter second threshold, giving downstream readers a traceable link and a confidence signal for each claim in the summary, rather than presenting the generated text as unconditionally trustworthy.</w:t>
      </w:r>
    </w:p>
    <w:p>
      <w:pPr>
        <w:pStyle w:val="Heading2"/>
        <w:keepNext/>
        <w:spacing w:after="60" w:before="120"/>
        <w:jc w:val="left"/>
      </w:pPr>
      <w:r>
        <w:rPr>
          <w:rFonts w:ascii="Times New Roman" w:cs="Times New Roman" w:eastAsia="Times New Roman" w:hAnsi="Times New Roman"/>
          <w:i/>
          <w:iCs/>
          <w:sz w:val="20"/>
          <w:szCs w:val="20"/>
        </w:rPr>
        <w:t xml:space="preserve">G. Section-Summary Alignment for Training-Data Construction</w:t>
      </w:r>
    </w:p>
    <w:p>
      <w:pPr>
        <w:spacing w:after="0" w:before="0" w:line="240"/>
        <w:ind w:firstLine="240"/>
        <w:jc w:val="both"/>
      </w:pPr>
      <w:r>
        <w:rPr>
          <w:rFonts w:ascii="Times New Roman" w:cs="Times New Roman" w:eastAsia="Times New Roman" w:hAnsi="Times New Roman"/>
          <w:sz w:val="20"/>
          <w:szCs w:val="20"/>
        </w:rPr>
        <w:t xml:space="preserve">The IN-Abs dataset supplies only one reference summary per judgment, not a separate reference for each rhetorical section, which is insufficient for directly fine-tuning a section-aware summarizer. To address this, LegalLens applies the same cross-encoder used for citation verification to score every reference-summary sentence against the concatenated text of each detected section, assigning a sentence to a section only if at least one section clears a conservative similarity threshold, and allowing multi-label assignment when multiple sections score within a small margin of the best match, since a single reference sentence can genuinely describe more than one rhetorical component of a judgment. The resulting sentence-to-section assignments are converted into chunk-level training examples pairing a source chunk, its rhetorical label, and its aligned portion of the reference summary, providing the section-specific supervision needed to eventually fine-tune the summarizer beyond its current zero-shot configuration.</w:t>
      </w:r>
    </w:p>
    <w:p>
      <w:pPr>
        <w:pStyle w:val="Heading2"/>
        <w:keepNext/>
        <w:spacing w:after="60" w:before="120"/>
        <w:jc w:val="left"/>
      </w:pPr>
      <w:r>
        <w:rPr>
          <w:rFonts w:ascii="Times New Roman" w:cs="Times New Roman" w:eastAsia="Times New Roman" w:hAnsi="Times New Roman"/>
          <w:i/>
          <w:iCs/>
          <w:sz w:val="20"/>
          <w:szCs w:val="20"/>
        </w:rPr>
        <w:t xml:space="preserve">H. Models and Technology Stack</w:t>
      </w:r>
    </w:p>
    <w:p>
      <w:pPr>
        <w:spacing w:after="0" w:before="0" w:line="240"/>
        <w:ind w:firstLine="240"/>
        <w:jc w:val="both"/>
      </w:pPr>
      <w:r>
        <w:rPr>
          <w:rFonts w:ascii="Times New Roman" w:cs="Times New Roman" w:eastAsia="Times New Roman" w:hAnsi="Times New Roman"/>
          <w:sz w:val="20"/>
          <w:szCs w:val="20"/>
        </w:rPr>
        <w:t xml:space="preserve">LegalLens relies on two pretrained Transformer models, each doing a different job, plus a lightweight classical classifier for section detection. We kept the stack small and open-source so the whole pipeline can run on free-tier hardware (Table 3).</w:t>
      </w:r>
    </w:p>
    <w:p>
      <w:pPr>
        <w:spacing w:after="0" w:before="0" w:line="240"/>
        <w:ind w:firstLine="240"/>
        <w:jc w:val="both"/>
      </w:pPr>
      <w:r>
        <w:rPr>
          <w:rFonts w:ascii="Times New Roman" w:cs="Times New Roman" w:eastAsia="Times New Roman" w:hAnsi="Times New Roman"/>
          <w:i/>
          <w:iCs/>
          <w:sz w:val="20"/>
          <w:szCs w:val="20"/>
        </w:rPr>
        <w:t xml:space="preserve">Summarization model.</w:t>
      </w:r>
      <w:r>
        <w:rPr>
          <w:rFonts w:ascii="Times New Roman" w:cs="Times New Roman" w:eastAsia="Times New Roman" w:hAnsi="Times New Roman"/>
          <w:sz w:val="20"/>
          <w:szCs w:val="20"/>
        </w:rPr>
        <w:t xml:space="preserve"> For abstractive summarization we use facebook/bart-base [9], loaded through the Hugging Face Transformers library. BART is an encoder-decoder Transformer with roughly 140 million parameters. It is pretrained by reconstructing corrupted text, which is close to what summarization asks of a model: producing a coherent, shorter text from a longer one. We chose the base variant over larger models for practical reasons. It fits on a single free-tier GPU, it can be fine-tuned with modest memory, and it has a well-documented track record on summarization tasks. In the current configuration the model runs zero-shot, with beam search decoding and section-specific length limits. Fine-tuning it on the section-aligned chunks from Section III-G is the next step.</w:t>
      </w:r>
    </w:p>
    <w:p>
      <w:pPr>
        <w:spacing w:after="0" w:before="0" w:line="240"/>
        <w:ind w:firstLine="240"/>
        <w:jc w:val="both"/>
      </w:pPr>
      <w:r>
        <w:rPr>
          <w:rFonts w:ascii="Times New Roman" w:cs="Times New Roman" w:eastAsia="Times New Roman" w:hAnsi="Times New Roman"/>
          <w:i/>
          <w:iCs/>
          <w:sz w:val="20"/>
          <w:szCs w:val="20"/>
        </w:rPr>
        <w:t xml:space="preserve">Cross-encoder.</w:t>
      </w:r>
      <w:r>
        <w:rPr>
          <w:rFonts w:ascii="Times New Roman" w:cs="Times New Roman" w:eastAsia="Times New Roman" w:hAnsi="Times New Roman"/>
          <w:sz w:val="20"/>
          <w:szCs w:val="20"/>
        </w:rPr>
        <w:t xml:space="preserve"> Citation verification (Section III-F) and section-summary alignment (Section III-G) both use cross-encoder/ms-marco-MiniLM-L-6-v2, accessed through the Sentence-Transformers library [10]. Unlike a bi-encoder, which embeds two texts separately and compares the vectors, a cross-encoder reads both texts together and produces a single relevance score. This usually gives a more reliable judgement of whether a source passage supports a generated sentence, at the cost of more computation. That cost is acceptable here because the cross-encoder only scores short summary sentences against a limited set of chunks. Using one model for both alignment and verification also keeps the idea of “related text” consistent between training-data construction and inference. The model was trained on MS MARCO, a general web-search dataset, so it has no legal-domain knowledge. We discuss this limitation in Section VI.</w:t>
      </w:r>
    </w:p>
    <w:p>
      <w:pPr>
        <w:spacing w:after="0" w:before="0" w:line="240"/>
        <w:ind w:firstLine="240"/>
        <w:jc w:val="both"/>
      </w:pPr>
      <w:r>
        <w:rPr>
          <w:rFonts w:ascii="Times New Roman" w:cs="Times New Roman" w:eastAsia="Times New Roman" w:hAnsi="Times New Roman"/>
          <w:i/>
          <w:iCs/>
          <w:sz w:val="20"/>
          <w:szCs w:val="20"/>
        </w:rPr>
        <w:t xml:space="preserve">Section classifier.</w:t>
      </w:r>
      <w:r>
        <w:rPr>
          <w:rFonts w:ascii="Times New Roman" w:cs="Times New Roman" w:eastAsia="Times New Roman" w:hAnsi="Times New Roman"/>
          <w:sz w:val="20"/>
          <w:szCs w:val="20"/>
        </w:rPr>
        <w:t xml:space="preserve"> Rhetorical-role classification uses a TF-IDF vectorizer with a logistic regression model rather than a neural network. With a modest amount of labelled data, this choice is fast, easy to inspect, and easy to retrain.</w:t>
      </w:r>
    </w:p>
    <w:p>
      <w:pPr>
        <w:spacing w:after="0" w:before="0" w:line="240"/>
        <w:ind w:firstLine="240"/>
        <w:jc w:val="both"/>
      </w:pPr>
      <w:r>
        <w:rPr>
          <w:rFonts w:ascii="Times New Roman" w:cs="Times New Roman" w:eastAsia="Times New Roman" w:hAnsi="Times New Roman"/>
          <w:i/>
          <w:iCs/>
          <w:sz w:val="20"/>
          <w:szCs w:val="20"/>
        </w:rPr>
        <w:t xml:space="preserve">Implementation and deployment.</w:t>
      </w:r>
      <w:r>
        <w:rPr>
          <w:rFonts w:ascii="Times New Roman" w:cs="Times New Roman" w:eastAsia="Times New Roman" w:hAnsi="Times New Roman"/>
          <w:sz w:val="20"/>
          <w:szCs w:val="20"/>
        </w:rPr>
        <w:t xml:space="preserve"> The pipeline is written in Python. NLTK handles sentence splitting. The system is exposed through a FastAPI service, a command-line interface built with Click and Rich, and a Gradio demo application. Model experiments run on Google Colab with a T4 GPU, and models and processed datasets are hosted on the Hugging Face Hub [8].</w:t>
      </w:r>
    </w:p>
    <w:p>
      <w:pPr>
        <w:keepNext/>
        <w:spacing w:after="60" w:before="120"/>
        <w:jc w:val="center"/>
      </w:pPr>
      <w:r>
        <w:rPr>
          <w:rFonts w:ascii="Times New Roman" w:cs="Times New Roman" w:eastAsia="Times New Roman" w:hAnsi="Times New Roman"/>
          <w:b/>
          <w:bCs/>
          <w:sz w:val="16"/>
          <w:szCs w:val="16"/>
        </w:rPr>
        <w:t xml:space="preserve">TABLE 3. </w:t>
      </w:r>
      <w:r>
        <w:rPr>
          <w:rFonts w:ascii="Times New Roman" w:cs="Times New Roman" w:eastAsia="Times New Roman" w:hAnsi="Times New Roman"/>
          <w:sz w:val="16"/>
          <w:szCs w:val="16"/>
        </w:rPr>
        <w:t xml:space="preserve">LegalLens components and corresponding tools and models.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700"/>
        <w:gridCol w:w="3340"/>
      </w:tblGrid>
      <w:tr>
        <w:trPr>
          <w:cantSplit/>
          <w:tblHeader/>
        </w:trPr>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bCs/>
                <w:sz w:val="16"/>
                <w:szCs w:val="16"/>
              </w:rPr>
              <w:t xml:space="preserve">Component</w:t>
            </w:r>
          </w:p>
        </w:tc>
        <w:tc>
          <w:tcPr>
            <w:tcW w:type="dxa" w:w="3340"/>
            <w:tcBorders>
              <w:top w:val="single" w:color="000000" w:sz="8"/>
              <w:left w:val="none" w:color="FFFFFF" w:sz="0"/>
              <w:bottom w:val="single" w:color="000000" w:sz="8"/>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bCs/>
                <w:sz w:val="16"/>
                <w:szCs w:val="16"/>
              </w:rPr>
              <w:t xml:space="preserve">Tool / model</w:t>
            </w:r>
          </w:p>
        </w:tc>
      </w:tr>
      <w:tr>
        <w:trPr>
          <w:cantSplit/>
        </w:trPr>
        <w:tc>
          <w:tcPr>
            <w:tcW w:type="dxa" w:w="17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Abstractive summarizer</w:t>
            </w:r>
          </w:p>
        </w:tc>
        <w:tc>
          <w:tcPr>
            <w:tcW w:type="dxa" w:w="334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facebook/bart-base (Hugging Face Transformers)</w:t>
            </w:r>
          </w:p>
        </w:tc>
      </w:tr>
      <w:tr>
        <w:trPr>
          <w:cantSplit/>
        </w:trPr>
        <w:tc>
          <w:tcPr>
            <w:tcW w:type="dxa" w:w="17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Verification and alignment</w:t>
            </w:r>
          </w:p>
        </w:tc>
        <w:tc>
          <w:tcPr>
            <w:tcW w:type="dxa" w:w="334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cross-encoder/ms-marco-MiniLM-L-6-v2 (Sentence-Transformers)</w:t>
            </w:r>
          </w:p>
        </w:tc>
      </w:tr>
      <w:tr>
        <w:trPr>
          <w:cantSplit/>
        </w:trPr>
        <w:tc>
          <w:tcPr>
            <w:tcW w:type="dxa" w:w="17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Section classifier</w:t>
            </w:r>
          </w:p>
        </w:tc>
        <w:tc>
          <w:tcPr>
            <w:tcW w:type="dxa" w:w="334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TF-IDF + logistic regression</w:t>
            </w:r>
          </w:p>
        </w:tc>
      </w:tr>
      <w:tr>
        <w:trPr>
          <w:cantSplit/>
        </w:trPr>
        <w:tc>
          <w:tcPr>
            <w:tcW w:type="dxa" w:w="17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Text processing</w:t>
            </w:r>
          </w:p>
        </w:tc>
        <w:tc>
          <w:tcPr>
            <w:tcW w:type="dxa" w:w="334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Python, NLTK</w:t>
            </w:r>
          </w:p>
        </w:tc>
      </w:tr>
      <w:tr>
        <w:trPr>
          <w:cantSplit/>
        </w:trPr>
        <w:tc>
          <w:tcPr>
            <w:tcW w:type="dxa" w:w="17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Serving and interfaces</w:t>
            </w:r>
          </w:p>
        </w:tc>
        <w:tc>
          <w:tcPr>
            <w:tcW w:type="dxa" w:w="334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FastAPI, Click and Rich (CLI), Gradio</w:t>
            </w:r>
          </w:p>
        </w:tc>
      </w:tr>
      <w:tr>
        <w:trPr>
          <w:cantSplit/>
        </w:trPr>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Compute and hosting</w:t>
            </w:r>
          </w:p>
        </w:tc>
        <w:tc>
          <w:tcPr>
            <w:tcW w:type="dxa" w:w="3340"/>
            <w:tcBorders>
              <w:top w:val="none" w:color="FFFFFF" w:sz="0"/>
              <w:left w:val="none" w:color="FFFFFF" w:sz="0"/>
              <w:bottom w:val="single" w:color="000000" w:sz="8"/>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Google Colab (T4 GPU), Hugging Face Hub</w:t>
            </w:r>
          </w:p>
        </w:tc>
      </w:tr>
    </w:tbl>
    <w:p>
      <w:pPr>
        <w:spacing w:after="60" w:before="0"/>
      </w:pPr>
    </w:p>
    <w:p>
      <w:pPr>
        <w:pStyle w:val="Heading1"/>
        <w:keepNext/>
        <w:spacing w:after="80" w:before="200"/>
        <w:jc w:val="center"/>
      </w:pPr>
      <w:r>
        <w:rPr>
          <w:rFonts w:ascii="Times New Roman" w:cs="Times New Roman" w:eastAsia="Times New Roman" w:hAnsi="Times New Roman"/>
          <w:caps/>
          <w:sz w:val="20"/>
          <w:szCs w:val="20"/>
        </w:rPr>
        <w:t xml:space="preserve">IV. Testing and Evaluation</w:t>
      </w:r>
    </w:p>
    <w:p>
      <w:pPr>
        <w:spacing w:after="0" w:before="0" w:line="240"/>
        <w:ind w:firstLine="240"/>
        <w:jc w:val="both"/>
      </w:pPr>
      <w:r>
        <w:rPr>
          <w:rFonts w:ascii="Times New Roman" w:cs="Times New Roman" w:eastAsia="Times New Roman" w:hAnsi="Times New Roman"/>
          <w:sz w:val="20"/>
          <w:szCs w:val="20"/>
        </w:rPr>
        <w:t xml:space="preserve">Testing a language model is different from testing ordinary software. A conventional function has one correct output for each input, but a generative model can produce many acceptable outputs. A test therefore has to ask how good an output is, not whether it matches a fixed answer [11]. We tested LegalLens against quality criteria built around the failure modes usually identified for LLM systems: hallucination, irrelevance, bias, and toxic or unsafe content [11]. We added three checks specific to our setting: stability, format compliance and personal-data leakage.</w:t>
      </w:r>
    </w:p>
    <w:p>
      <w:pPr>
        <w:pStyle w:val="Heading2"/>
        <w:keepNext/>
        <w:spacing w:after="60" w:before="120"/>
        <w:jc w:val="left"/>
      </w:pPr>
      <w:r>
        <w:rPr>
          <w:rFonts w:ascii="Times New Roman" w:cs="Times New Roman" w:eastAsia="Times New Roman" w:hAnsi="Times New Roman"/>
          <w:i/>
          <w:iCs/>
          <w:sz w:val="20"/>
          <w:szCs w:val="20"/>
        </w:rPr>
        <w:t xml:space="preserve">A. Systems Under Test</w:t>
      </w:r>
    </w:p>
    <w:p>
      <w:pPr>
        <w:spacing w:after="0" w:before="0" w:line="240"/>
        <w:ind w:firstLine="240"/>
        <w:jc w:val="both"/>
      </w:pPr>
      <w:r>
        <w:rPr>
          <w:rFonts w:ascii="Times New Roman" w:cs="Times New Roman" w:eastAsia="Times New Roman" w:hAnsi="Times New Roman"/>
          <w:sz w:val="20"/>
          <w:szCs w:val="20"/>
        </w:rPr>
        <w:t xml:space="preserve">Two models are tested. The generator, facebook/bart-base, is evaluated in two configurations: a zero-shot baseline, which is what the pipeline currently uses, and a version fine-tuned on the section-aligned chunks from Section III-G. The verifier, cross-encoder/ms-marco-MiniLM-L-6-v2, is tested separately, because the faithfulness of the whole system depends on it. Fine-tuning is still in progress, so the results below report the zero-shot baseline, and the fine-tuned column will be added once training completes. All tests use the 100 held-out judgments described in Section III-B, and each test is automated so it can be re-run on any version of the model.</w:t>
      </w:r>
    </w:p>
    <w:p>
      <w:pPr>
        <w:pStyle w:val="Heading2"/>
        <w:keepNext/>
        <w:spacing w:after="60" w:before="120"/>
        <w:jc w:val="left"/>
      </w:pPr>
      <w:r>
        <w:rPr>
          <w:rFonts w:ascii="Times New Roman" w:cs="Times New Roman" w:eastAsia="Times New Roman" w:hAnsi="Times New Roman"/>
          <w:i/>
          <w:iCs/>
          <w:sz w:val="20"/>
          <w:szCs w:val="20"/>
        </w:rPr>
        <w:t xml:space="preserve">B. Test Design</w:t>
      </w:r>
    </w:p>
    <w:p>
      <w:pPr>
        <w:spacing w:after="0" w:before="0" w:line="240"/>
        <w:ind w:firstLine="240"/>
        <w:jc w:val="both"/>
      </w:pPr>
      <w:r>
        <w:rPr>
          <w:rFonts w:ascii="Times New Roman" w:cs="Times New Roman" w:eastAsia="Times New Roman" w:hAnsi="Times New Roman"/>
          <w:sz w:val="20"/>
          <w:szCs w:val="20"/>
        </w:rPr>
        <w:t xml:space="preserve">The seven tests, T1–T7, are summarized in Table 4.</w:t>
      </w:r>
    </w:p>
    <w:p>
      <w:pPr>
        <w:sectPr>
          <w:type w:val="continuous"/>
          <w:pgSz w:w="12240" w:h="15840" w:orient="portrait"/>
          <w:pgMar w:top="1080" w:right="900" w:bottom="1080" w:left="900" w:header="500" w:footer="500" w:gutter="0"/>
          <w:pgNumType/>
          <w:cols w:space="360" w:num="2" w:equalWidth="true"/>
          <w:titlePg w:val="false"/>
          <w:docGrid w:linePitch="360"/>
        </w:sectPr>
      </w:pPr>
    </w:p>
    <w:p>
      <w:pPr>
        <w:keepNext/>
        <w:spacing w:after="60" w:before="120"/>
        <w:jc w:val="center"/>
      </w:pPr>
      <w:r>
        <w:rPr>
          <w:rFonts w:ascii="Times New Roman" w:cs="Times New Roman" w:eastAsia="Times New Roman" w:hAnsi="Times New Roman"/>
          <w:b/>
          <w:bCs/>
          <w:sz w:val="16"/>
          <w:szCs w:val="16"/>
        </w:rPr>
        <w:t xml:space="preserve">TABLE 4. </w:t>
      </w:r>
      <w:r>
        <w:rPr>
          <w:rFonts w:ascii="Times New Roman" w:cs="Times New Roman" w:eastAsia="Times New Roman" w:hAnsi="Times New Roman"/>
          <w:sz w:val="16"/>
          <w:szCs w:val="16"/>
        </w:rPr>
        <w:t xml:space="preserve">Test design: failure modes, what is tested, and the method and metric for each test.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000"/>
        <w:gridCol w:w="5240"/>
      </w:tblGrid>
      <w:tr>
        <w:trPr>
          <w:cantSplit/>
          <w:tblHeader/>
        </w:trPr>
        <w:tc>
          <w:tcPr>
            <w:tcW w:type="dxa" w:w="700"/>
            <w:tcBorders>
              <w:top w:val="single" w:color="000000" w:sz="8"/>
              <w:left w:val="none" w:color="FFFFFF" w:sz="0"/>
              <w:bottom w:val="single" w:color="000000" w:sz="8"/>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bCs/>
                <w:sz w:val="16"/>
                <w:szCs w:val="16"/>
              </w:rPr>
              <w:t xml:space="preserve">ID</w:t>
            </w:r>
          </w:p>
        </w:tc>
        <w:tc>
          <w:tcPr>
            <w:tcW w:type="dxa" w:w="1500"/>
            <w:tcBorders>
              <w:top w:val="single" w:color="000000" w:sz="8"/>
              <w:left w:val="none" w:color="FFFFFF" w:sz="0"/>
              <w:bottom w:val="single" w:color="000000" w:sz="8"/>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bCs/>
                <w:sz w:val="16"/>
                <w:szCs w:val="16"/>
              </w:rPr>
              <w:t xml:space="preserve">Failure mode</w:t>
            </w:r>
          </w:p>
        </w:tc>
        <w:tc>
          <w:tcPr>
            <w:tcW w:type="dxa" w:w="3000"/>
            <w:tcBorders>
              <w:top w:val="single" w:color="000000" w:sz="8"/>
              <w:left w:val="none" w:color="FFFFFF" w:sz="0"/>
              <w:bottom w:val="single" w:color="000000" w:sz="8"/>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bCs/>
                <w:sz w:val="16"/>
                <w:szCs w:val="16"/>
              </w:rPr>
              <w:t xml:space="preserve">What is tested</w:t>
            </w:r>
          </w:p>
        </w:tc>
        <w:tc>
          <w:tcPr>
            <w:tcW w:type="dxa" w:w="5240"/>
            <w:tcBorders>
              <w:top w:val="single" w:color="000000" w:sz="8"/>
              <w:left w:val="none" w:color="FFFFFF" w:sz="0"/>
              <w:bottom w:val="single" w:color="000000" w:sz="8"/>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bCs/>
                <w:sz w:val="16"/>
                <w:szCs w:val="16"/>
              </w:rPr>
              <w:t xml:space="preserve">Method and metric</w:t>
            </w:r>
          </w:p>
        </w:tc>
      </w:tr>
      <w:tr>
        <w:trPr>
          <w:cantSplit/>
        </w:trPr>
        <w:tc>
          <w:tcPr>
            <w:tcW w:type="dxa" w:w="7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T1</w:t>
            </w:r>
          </w:p>
        </w:tc>
        <w:tc>
          <w:tcPr>
            <w:tcW w:type="dxa" w:w="15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Hallucination</w:t>
            </w:r>
          </w:p>
        </w:tc>
        <w:tc>
          <w:tcPr>
            <w:tcW w:type="dxa" w:w="30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Is each generated sentence supported by the source chunk cited for it?</w:t>
            </w:r>
          </w:p>
        </w:tc>
        <w:tc>
          <w:tcPr>
            <w:tcW w:type="dxa" w:w="524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An independent NLI model (facebook/bart-large-mnli) checks whether the cited chunk entails the sentence. A random sample of sentences is also audited by hand. Metric: entailment rate and audit agreement.</w:t>
            </w:r>
          </w:p>
        </w:tc>
      </w:tr>
      <w:tr>
        <w:trPr>
          <w:cantSplit/>
        </w:trPr>
        <w:tc>
          <w:tcPr>
            <w:tcW w:type="dxa" w:w="7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T2</w:t>
            </w:r>
          </w:p>
        </w:tc>
        <w:tc>
          <w:tcPr>
            <w:tcW w:type="dxa" w:w="15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Verifier reliability</w:t>
            </w:r>
          </w:p>
        </w:tc>
        <w:tc>
          <w:tcPr>
            <w:tcW w:type="dxa" w:w="30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Can the cross-encoder tell supported sentences from unsupported ones?</w:t>
            </w:r>
          </w:p>
        </w:tc>
        <w:tc>
          <w:tcPr>
            <w:tcW w:type="dxa" w:w="524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Three probes: true sentences with their own source, the same sentences paired with chunks from a different judgment, and sentences whose meaning is reversed (for example, “dismissed” changed to “allowed”). Metric: mean score per group and the gap between them.</w:t>
            </w:r>
          </w:p>
        </w:tc>
      </w:tr>
      <w:tr>
        <w:trPr>
          <w:cantSplit/>
        </w:trPr>
        <w:tc>
          <w:tcPr>
            <w:tcW w:type="dxa" w:w="7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T3</w:t>
            </w:r>
          </w:p>
        </w:tc>
        <w:tc>
          <w:tcPr>
            <w:tcW w:type="dxa" w:w="15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Relevance</w:t>
            </w:r>
          </w:p>
        </w:tc>
        <w:tc>
          <w:tcPr>
            <w:tcW w:type="dxa" w:w="30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Do summaries capture what the reference captures, and state the right outcome?</w:t>
            </w:r>
          </w:p>
        </w:tc>
        <w:tc>
          <w:tcPr>
            <w:tcW w:type="dxa" w:w="524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ROUGE-1/2/L [12] and BERTScore [13] against the IN-Abs references. Section coverage: are all five rhetorical roles present in Lawyer Mode? Outcome agreement: does the Judgement section state the same disposition (allowed or dismissed) as the source order?</w:t>
            </w:r>
          </w:p>
        </w:tc>
      </w:tr>
      <w:tr>
        <w:trPr>
          <w:cantSplit/>
        </w:trPr>
        <w:tc>
          <w:tcPr>
            <w:tcW w:type="dxa" w:w="7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T4</w:t>
            </w:r>
          </w:p>
        </w:tc>
        <w:tc>
          <w:tcPr>
            <w:tcW w:type="dxa" w:w="15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Stability</w:t>
            </w:r>
          </w:p>
        </w:tc>
        <w:tc>
          <w:tcPr>
            <w:tcW w:type="dxa" w:w="30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Does a trivial change to the input change the summary?</w:t>
            </w:r>
          </w:p>
        </w:tc>
        <w:tc>
          <w:tcPr>
            <w:tcW w:type="dxa" w:w="524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Re-run with chunk boundaries shifted by 50 tokens and with whitespace changes, then compare outputs. Metric: mean BERTScore between runs.</w:t>
            </w:r>
          </w:p>
        </w:tc>
      </w:tr>
      <w:tr>
        <w:trPr>
          <w:cantSplit/>
        </w:trPr>
        <w:tc>
          <w:tcPr>
            <w:tcW w:type="dxa" w:w="7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T5</w:t>
            </w:r>
          </w:p>
        </w:tc>
        <w:tc>
          <w:tcPr>
            <w:tcW w:type="dxa" w:w="15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Bias</w:t>
            </w:r>
          </w:p>
        </w:tc>
        <w:tc>
          <w:tcPr>
            <w:tcW w:type="dxa" w:w="30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Does the output change when only party attributes change?</w:t>
            </w:r>
          </w:p>
        </w:tc>
        <w:tc>
          <w:tcPr>
            <w:tcW w:type="dxa" w:w="524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Counterfactual pairs: swap gender and names that suggest different religious or regional communities in a sample of judgments, before redaction. Metric: share of pairs whose outcome statement is unchanged.</w:t>
            </w:r>
          </w:p>
        </w:tc>
      </w:tr>
      <w:tr>
        <w:trPr>
          <w:cantSplit/>
        </w:trPr>
        <w:tc>
          <w:tcPr>
            <w:tcW w:type="dxa" w:w="7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T6</w:t>
            </w:r>
          </w:p>
        </w:tc>
        <w:tc>
          <w:tcPr>
            <w:tcW w:type="dxa" w:w="15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Safety and privacy</w:t>
            </w:r>
          </w:p>
        </w:tc>
        <w:tc>
          <w:tcPr>
            <w:tcW w:type="dxa" w:w="30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Does the output contain harmful content or personal data?</w:t>
            </w:r>
          </w:p>
        </w:tc>
        <w:tc>
          <w:tcPr>
            <w:tcW w:type="dxa" w:w="524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A toxicity classifier (unitary/toxic-bert) plus manual review, since criminal judgments legitimately describe violence. A regex scan for Aadhaar, PAN, phone and email patterns. Metric: reviewed toxicity rate and number of PII matches (target: zero).</w:t>
            </w:r>
          </w:p>
        </w:tc>
      </w:tr>
      <w:tr>
        <w:trPr>
          <w:cantSplit/>
        </w:trPr>
        <w:tc>
          <w:tcPr>
            <w:tcW w:type="dxa" w:w="700"/>
            <w:tcBorders>
              <w:top w:val="none" w:color="FFFFFF" w:sz="0"/>
              <w:left w:val="none" w:color="FFFFFF" w:sz="0"/>
              <w:bottom w:val="single" w:color="000000" w:sz="8"/>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T7</w:t>
            </w:r>
          </w:p>
        </w:tc>
        <w:tc>
          <w:tcPr>
            <w:tcW w:type="dxa" w:w="1500"/>
            <w:tcBorders>
              <w:top w:val="none" w:color="FFFFFF" w:sz="0"/>
              <w:left w:val="none" w:color="FFFFFF" w:sz="0"/>
              <w:bottom w:val="single" w:color="000000" w:sz="8"/>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Format and abstractiveness</w:t>
            </w:r>
          </w:p>
        </w:tc>
        <w:tc>
          <w:tcPr>
            <w:tcW w:type="dxa" w:w="3000"/>
            <w:tcBorders>
              <w:top w:val="none" w:color="FFFFFF" w:sz="0"/>
              <w:left w:val="none" w:color="FFFFFF" w:sz="0"/>
              <w:bottom w:val="single" w:color="000000" w:sz="8"/>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Do outputs follow the specification, and are they actually abstractive?</w:t>
            </w:r>
          </w:p>
        </w:tc>
        <w:tc>
          <w:tcPr>
            <w:tcW w:type="dxa" w:w="5240"/>
            <w:tcBorders>
              <w:top w:val="none" w:color="FFFFFF" w:sz="0"/>
              <w:left w:val="none" w:color="FFFFFF" w:sz="0"/>
              <w:bottom w:val="single" w:color="000000" w:sz="8"/>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Word counts within 500–700 (Lawyer Mode) and 150–250 (Citizen Mode), correct section order, and the novel-bigram rate (share of summary bigrams that do not appear in the source).</w:t>
            </w:r>
          </w:p>
        </w:tc>
      </w:tr>
    </w:tbl>
    <w:p>
      <w:pPr>
        <w:spacing w:after="60" w:before="0"/>
      </w:pPr>
    </w:p>
    <w:p>
      <w:pPr>
        <w:sectPr>
          <w:type w:val="continuous"/>
          <w:pgSz w:w="12240" w:h="15840" w:orient="portrait"/>
          <w:pgMar w:top="1080" w:right="900" w:bottom="1080" w:left="900" w:header="500" w:footer="500" w:gutter="0"/>
          <w:pgNumType/>
          <w:cols w:num="1"/>
          <w:titlePg w:val="false"/>
          <w:docGrid w:linePitch="360"/>
        </w:sectPr>
      </w:pPr>
    </w:p>
    <w:p>
      <w:pPr>
        <w:spacing w:after="0" w:before="0" w:line="240"/>
        <w:ind w:firstLine="240"/>
        <w:jc w:val="both"/>
      </w:pPr>
      <w:r>
        <w:rPr>
          <w:rFonts w:ascii="Times New Roman" w:cs="Times New Roman" w:eastAsia="Times New Roman" w:hAnsi="Times New Roman"/>
          <w:sz w:val="20"/>
          <w:szCs w:val="20"/>
        </w:rPr>
        <w:t xml:space="preserve">We use an NLI model for T1 rather than the cross-encoder, because checking the verifier with itself would be circular. Faithfulness here plays the same role as the metric of the same name in RAGAs [14], with our source chunks acting as the retrieved context. LegalLens is not itself a retrieval-augmented system. Where time allows, an LLM-as-a-judge faithfulness score [15] can be added on a small sample as a further check. Judge scores vary with the judge model, so we treat them as supporting evidence only.</w:t>
      </w:r>
    </w:p>
    <w:p>
      <w:pPr>
        <w:pStyle w:val="Heading1"/>
        <w:keepNext/>
        <w:spacing w:after="80" w:before="200"/>
        <w:jc w:val="center"/>
      </w:pPr>
      <w:r>
        <w:rPr>
          <w:rFonts w:ascii="Times New Roman" w:cs="Times New Roman" w:eastAsia="Times New Roman" w:hAnsi="Times New Roman"/>
          <w:caps/>
          <w:sz w:val="20"/>
          <w:szCs w:val="20"/>
        </w:rPr>
        <w:t xml:space="preserve">V. Results</w:t>
      </w:r>
    </w:p>
    <w:p>
      <w:pPr>
        <w:spacing w:after="0" w:before="0" w:line="240"/>
        <w:ind w:firstLine="240"/>
        <w:jc w:val="both"/>
      </w:pPr>
      <w:r>
        <w:rPr>
          <w:rFonts w:ascii="Times New Roman" w:cs="Times New Roman" w:eastAsia="Times New Roman" w:hAnsi="Times New Roman"/>
          <w:sz w:val="20"/>
          <w:szCs w:val="20"/>
        </w:rPr>
        <w:t xml:space="preserve">Table 5 reports the outcome of tests T1–T7. Entries marked [fill] are to be completed for the zero-shot baseline, and fine-tuned results will be added once training completes.</w:t>
      </w:r>
    </w:p>
    <w:p>
      <w:pPr>
        <w:keepNext/>
        <w:spacing w:after="60" w:before="120"/>
        <w:jc w:val="center"/>
      </w:pPr>
      <w:r>
        <w:rPr>
          <w:rFonts w:ascii="Times New Roman" w:cs="Times New Roman" w:eastAsia="Times New Roman" w:hAnsi="Times New Roman"/>
          <w:b/>
          <w:bCs/>
          <w:sz w:val="16"/>
          <w:szCs w:val="16"/>
        </w:rPr>
        <w:t xml:space="preserve">TABLE 5. </w:t>
      </w:r>
      <w:r>
        <w:rPr>
          <w:rFonts w:ascii="Times New Roman" w:cs="Times New Roman" w:eastAsia="Times New Roman" w:hAnsi="Times New Roman"/>
          <w:sz w:val="16"/>
          <w:szCs w:val="16"/>
        </w:rPr>
        <w:t xml:space="preserve">Test results for zero-shot and fine-tuned BART.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620"/>
        <w:gridCol w:w="2200"/>
        <w:gridCol w:w="1100"/>
        <w:gridCol w:w="1120"/>
      </w:tblGrid>
      <w:tr>
        <w:trPr>
          <w:cantSplit/>
          <w:tblHeader/>
        </w:trPr>
        <w:tc>
          <w:tcPr>
            <w:tcW w:type="dxa" w:w="620"/>
            <w:tcBorders>
              <w:top w:val="single" w:color="000000" w:sz="8"/>
              <w:left w:val="none" w:color="FFFFFF" w:sz="0"/>
              <w:bottom w:val="single" w:color="000000" w:sz="8"/>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bCs/>
                <w:sz w:val="16"/>
                <w:szCs w:val="16"/>
              </w:rPr>
              <w:t xml:space="preserve">Test</w:t>
            </w:r>
          </w:p>
        </w:tc>
        <w:tc>
          <w:tcPr>
            <w:tcW w:type="dxa" w:w="2200"/>
            <w:tcBorders>
              <w:top w:val="single" w:color="000000" w:sz="8"/>
              <w:left w:val="none" w:color="FFFFFF" w:sz="0"/>
              <w:bottom w:val="single" w:color="000000" w:sz="8"/>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bCs/>
                <w:sz w:val="16"/>
                <w:szCs w:val="16"/>
              </w:rPr>
              <w:t xml:space="preserve">Metric</w:t>
            </w:r>
          </w:p>
        </w:tc>
        <w:tc>
          <w:tcPr>
            <w:tcW w:type="dxa" w:w="1100"/>
            <w:tcBorders>
              <w:top w:val="single" w:color="000000" w:sz="8"/>
              <w:left w:val="none" w:color="FFFFFF" w:sz="0"/>
              <w:bottom w:val="single" w:color="000000" w:sz="8"/>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bCs/>
                <w:sz w:val="16"/>
                <w:szCs w:val="16"/>
              </w:rPr>
              <w:t xml:space="preserve">Zero-shot BART</w:t>
            </w:r>
          </w:p>
        </w:tc>
        <w:tc>
          <w:tcPr>
            <w:tcW w:type="dxa" w:w="1120"/>
            <w:tcBorders>
              <w:top w:val="single" w:color="000000" w:sz="8"/>
              <w:left w:val="none" w:color="FFFFFF" w:sz="0"/>
              <w:bottom w:val="single" w:color="000000" w:sz="8"/>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bCs/>
                <w:sz w:val="16"/>
                <w:szCs w:val="16"/>
              </w:rPr>
              <w:t xml:space="preserve">Fine-tuned BART</w:t>
            </w:r>
          </w:p>
        </w:tc>
      </w:tr>
      <w:tr>
        <w:trPr>
          <w:cantSplit/>
        </w:trPr>
        <w:tc>
          <w:tcPr>
            <w:tcW w:type="dxa" w:w="62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T1</w:t>
            </w:r>
          </w:p>
        </w:tc>
        <w:tc>
          <w:tcPr>
            <w:tcW w:type="dxa" w:w="22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NLI entailment rate</w:t>
            </w:r>
          </w:p>
        </w:tc>
        <w:tc>
          <w:tcPr>
            <w:tcW w:type="dxa" w:w="11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[fill]</w:t>
            </w:r>
          </w:p>
        </w:tc>
        <w:tc>
          <w:tcPr>
            <w:tcW w:type="dxa" w:w="112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in progress</w:t>
            </w:r>
          </w:p>
        </w:tc>
      </w:tr>
      <w:tr>
        <w:trPr>
          <w:cantSplit/>
        </w:trPr>
        <w:tc>
          <w:tcPr>
            <w:tcW w:type="dxa" w:w="62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T2</w:t>
            </w:r>
          </w:p>
        </w:tc>
        <w:tc>
          <w:tcPr>
            <w:tcW w:type="dxa" w:w="22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Mean score: true / unrelated / reversed</w:t>
            </w:r>
          </w:p>
        </w:tc>
        <w:tc>
          <w:tcPr>
            <w:tcW w:type="dxa" w:w="11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[fill]</w:t>
            </w:r>
          </w:p>
        </w:tc>
        <w:tc>
          <w:tcPr>
            <w:tcW w:type="dxa" w:w="112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not affected by fine-tuning</w:t>
            </w:r>
          </w:p>
        </w:tc>
      </w:tr>
      <w:tr>
        <w:trPr>
          <w:cantSplit/>
        </w:trPr>
        <w:tc>
          <w:tcPr>
            <w:tcW w:type="dxa" w:w="62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T3</w:t>
            </w:r>
          </w:p>
        </w:tc>
        <w:tc>
          <w:tcPr>
            <w:tcW w:type="dxa" w:w="22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ROUGE-1 / ROUGE-2 / ROUGE-L</w:t>
            </w:r>
          </w:p>
        </w:tc>
        <w:tc>
          <w:tcPr>
            <w:tcW w:type="dxa" w:w="11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[fill]</w:t>
            </w:r>
          </w:p>
        </w:tc>
        <w:tc>
          <w:tcPr>
            <w:tcW w:type="dxa" w:w="112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in progress</w:t>
            </w:r>
          </w:p>
        </w:tc>
      </w:tr>
      <w:tr>
        <w:trPr>
          <w:cantSplit/>
        </w:trPr>
        <w:tc>
          <w:tcPr>
            <w:tcW w:type="dxa" w:w="62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T3</w:t>
            </w:r>
          </w:p>
        </w:tc>
        <w:tc>
          <w:tcPr>
            <w:tcW w:type="dxa" w:w="22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BERTScore F1</w:t>
            </w:r>
          </w:p>
        </w:tc>
        <w:tc>
          <w:tcPr>
            <w:tcW w:type="dxa" w:w="11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[fill]</w:t>
            </w:r>
          </w:p>
        </w:tc>
        <w:tc>
          <w:tcPr>
            <w:tcW w:type="dxa" w:w="112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in progress</w:t>
            </w:r>
          </w:p>
        </w:tc>
      </w:tr>
      <w:tr>
        <w:trPr>
          <w:cantSplit/>
        </w:trPr>
        <w:tc>
          <w:tcPr>
            <w:tcW w:type="dxa" w:w="62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T3</w:t>
            </w:r>
          </w:p>
        </w:tc>
        <w:tc>
          <w:tcPr>
            <w:tcW w:type="dxa" w:w="22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Outcome agreement</w:t>
            </w:r>
          </w:p>
        </w:tc>
        <w:tc>
          <w:tcPr>
            <w:tcW w:type="dxa" w:w="11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[fill]</w:t>
            </w:r>
          </w:p>
        </w:tc>
        <w:tc>
          <w:tcPr>
            <w:tcW w:type="dxa" w:w="112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in progress</w:t>
            </w:r>
          </w:p>
        </w:tc>
      </w:tr>
      <w:tr>
        <w:trPr>
          <w:cantSplit/>
        </w:trPr>
        <w:tc>
          <w:tcPr>
            <w:tcW w:type="dxa" w:w="62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T4</w:t>
            </w:r>
          </w:p>
        </w:tc>
        <w:tc>
          <w:tcPr>
            <w:tcW w:type="dxa" w:w="22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Mean BERTScore between perturbed runs</w:t>
            </w:r>
          </w:p>
        </w:tc>
        <w:tc>
          <w:tcPr>
            <w:tcW w:type="dxa" w:w="11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[fill]</w:t>
            </w:r>
          </w:p>
        </w:tc>
        <w:tc>
          <w:tcPr>
            <w:tcW w:type="dxa" w:w="112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in progress</w:t>
            </w:r>
          </w:p>
        </w:tc>
      </w:tr>
      <w:tr>
        <w:trPr>
          <w:cantSplit/>
        </w:trPr>
        <w:tc>
          <w:tcPr>
            <w:tcW w:type="dxa" w:w="62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T5</w:t>
            </w:r>
          </w:p>
        </w:tc>
        <w:tc>
          <w:tcPr>
            <w:tcW w:type="dxa" w:w="22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Pairs with unchanged outcome</w:t>
            </w:r>
          </w:p>
        </w:tc>
        <w:tc>
          <w:tcPr>
            <w:tcW w:type="dxa" w:w="11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[fill]</w:t>
            </w:r>
          </w:p>
        </w:tc>
        <w:tc>
          <w:tcPr>
            <w:tcW w:type="dxa" w:w="112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in progress</w:t>
            </w:r>
          </w:p>
        </w:tc>
      </w:tr>
      <w:tr>
        <w:trPr>
          <w:cantSplit/>
        </w:trPr>
        <w:tc>
          <w:tcPr>
            <w:tcW w:type="dxa" w:w="62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T6</w:t>
            </w:r>
          </w:p>
        </w:tc>
        <w:tc>
          <w:tcPr>
            <w:tcW w:type="dxa" w:w="22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Toxicity flags after review / PII matches</w:t>
            </w:r>
          </w:p>
        </w:tc>
        <w:tc>
          <w:tcPr>
            <w:tcW w:type="dxa" w:w="11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[fill]</w:t>
            </w:r>
          </w:p>
        </w:tc>
        <w:tc>
          <w:tcPr>
            <w:tcW w:type="dxa" w:w="112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in progress</w:t>
            </w:r>
          </w:p>
        </w:tc>
      </w:tr>
      <w:tr>
        <w:trPr>
          <w:cantSplit/>
        </w:trPr>
        <w:tc>
          <w:tcPr>
            <w:tcW w:type="dxa" w:w="62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T7</w:t>
            </w:r>
          </w:p>
        </w:tc>
        <w:tc>
          <w:tcPr>
            <w:tcW w:type="dxa" w:w="22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Outputs within length limits (Lawyer / Citizen)</w:t>
            </w:r>
          </w:p>
        </w:tc>
        <w:tc>
          <w:tcPr>
            <w:tcW w:type="dxa" w:w="110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[fill]</w:t>
            </w:r>
          </w:p>
        </w:tc>
        <w:tc>
          <w:tcPr>
            <w:tcW w:type="dxa" w:w="1120"/>
            <w:tcBorders>
              <w:top w:val="none" w:color="FFFFFF" w:sz="0"/>
              <w:left w:val="none" w:color="FFFFFF" w:sz="0"/>
              <w:bottom w:val="single" w:color="AAAAAA" w:sz="2"/>
              <w:right w:val="none" w:color="FFFFFF" w:sz="0"/>
            </w:tcBorders>
            <w:tcMar>
              <w:top w:type="dxa" w:w="30"/>
              <w:left w:type="dxa" w:w="60"/>
              <w:bottom w:type="dxa" w:w="30"/>
              <w:right w:type="dxa" w:w="60"/>
            </w:tcMar>
          </w:tcPr>
          <w:p>
            <w:pPr>
              <w:keepNext/>
              <w:spacing w:line="220"/>
              <w:jc w:val="left"/>
            </w:pPr>
            <w:r>
              <w:rPr>
                <w:rFonts w:ascii="Times New Roman" w:cs="Times New Roman" w:eastAsia="Times New Roman" w:hAnsi="Times New Roman"/>
                <w:b w:val="false"/>
                <w:bCs w:val="false"/>
                <w:sz w:val="16"/>
                <w:szCs w:val="16"/>
              </w:rPr>
              <w:t xml:space="preserve">in progress</w:t>
            </w:r>
          </w:p>
        </w:tc>
      </w:tr>
      <w:tr>
        <w:trPr>
          <w:cantSplit/>
        </w:trPr>
        <w:tc>
          <w:tcPr>
            <w:tcW w:type="dxa" w:w="620"/>
            <w:tcBorders>
              <w:top w:val="none" w:color="FFFFFF" w:sz="0"/>
              <w:left w:val="none" w:color="FFFFFF" w:sz="0"/>
              <w:bottom w:val="single" w:color="000000" w:sz="8"/>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T7</w:t>
            </w:r>
          </w:p>
        </w:tc>
        <w:tc>
          <w:tcPr>
            <w:tcW w:type="dxa" w:w="2200"/>
            <w:tcBorders>
              <w:top w:val="none" w:color="FFFFFF" w:sz="0"/>
              <w:left w:val="none" w:color="FFFFFF" w:sz="0"/>
              <w:bottom w:val="single" w:color="000000" w:sz="8"/>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Novel-bigram rate</w:t>
            </w:r>
          </w:p>
        </w:tc>
        <w:tc>
          <w:tcPr>
            <w:tcW w:type="dxa" w:w="1100"/>
            <w:tcBorders>
              <w:top w:val="none" w:color="FFFFFF" w:sz="0"/>
              <w:left w:val="none" w:color="FFFFFF" w:sz="0"/>
              <w:bottom w:val="single" w:color="000000" w:sz="8"/>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[fill]</w:t>
            </w:r>
          </w:p>
        </w:tc>
        <w:tc>
          <w:tcPr>
            <w:tcW w:type="dxa" w:w="1120"/>
            <w:tcBorders>
              <w:top w:val="none" w:color="FFFFFF" w:sz="0"/>
              <w:left w:val="none" w:color="FFFFFF" w:sz="0"/>
              <w:bottom w:val="single" w:color="000000" w:sz="8"/>
              <w:right w:val="none" w:color="FFFFFF" w:sz="0"/>
            </w:tcBorders>
            <w:tcMar>
              <w:top w:type="dxa" w:w="30"/>
              <w:left w:type="dxa" w:w="60"/>
              <w:bottom w:type="dxa" w:w="30"/>
              <w:right w:type="dxa" w:w="60"/>
            </w:tcMar>
          </w:tcPr>
          <w:p>
            <w:pPr>
              <w:keepNext w:val="false"/>
              <w:spacing w:line="220"/>
              <w:jc w:val="left"/>
            </w:pPr>
            <w:r>
              <w:rPr>
                <w:rFonts w:ascii="Times New Roman" w:cs="Times New Roman" w:eastAsia="Times New Roman" w:hAnsi="Times New Roman"/>
                <w:b w:val="false"/>
                <w:bCs w:val="false"/>
                <w:sz w:val="16"/>
                <w:szCs w:val="16"/>
              </w:rPr>
              <w:t xml:space="preserve">in progress</w:t>
            </w:r>
          </w:p>
        </w:tc>
      </w:tr>
    </w:tbl>
    <w:p>
      <w:pPr>
        <w:spacing w:after="60" w:before="0"/>
      </w:pPr>
    </w:p>
    <w:p>
      <w:pPr>
        <w:pStyle w:val="Heading1"/>
        <w:keepNext/>
        <w:spacing w:after="80" w:before="200"/>
        <w:jc w:val="center"/>
      </w:pPr>
      <w:r>
        <w:rPr>
          <w:rFonts w:ascii="Times New Roman" w:cs="Times New Roman" w:eastAsia="Times New Roman" w:hAnsi="Times New Roman"/>
          <w:caps/>
          <w:sz w:val="20"/>
          <w:szCs w:val="20"/>
        </w:rPr>
        <w:t xml:space="preserve">VI. Discussion and Limitations</w:t>
      </w:r>
    </w:p>
    <w:p>
      <w:pPr>
        <w:spacing w:after="0" w:before="0" w:line="240"/>
        <w:ind w:firstLine="240"/>
        <w:jc w:val="both"/>
      </w:pPr>
      <w:r>
        <w:rPr>
          <w:rFonts w:ascii="Times New Roman" w:cs="Times New Roman" w:eastAsia="Times New Roman" w:hAnsi="Times New Roman"/>
          <w:sz w:val="20"/>
          <w:szCs w:val="20"/>
        </w:rPr>
        <w:t xml:space="preserve">The tests need to be read together. A zero-shot summarizer that mostly copies sentences from its input will score well on verification, because a copied sentence always matches its source. The novel-bigram rate in T7 shows how much of the verified rate comes from copying and how much from real abstraction. Test T2 also probes a known limit of similarity-based verification. A cross-encoder measures relatedness, not truth, so a sentence with reversed meaning may still score highly. Natural language inference would catch this, and it is a planned extension.</w:t>
      </w:r>
    </w:p>
    <w:p>
      <w:pPr>
        <w:spacing w:after="0" w:before="0" w:line="240"/>
        <w:ind w:firstLine="240"/>
        <w:jc w:val="both"/>
      </w:pPr>
      <w:r>
        <w:rPr>
          <w:rFonts w:ascii="Times New Roman" w:cs="Times New Roman" w:eastAsia="Times New Roman" w:hAnsi="Times New Roman"/>
          <w:sz w:val="20"/>
          <w:szCs w:val="20"/>
        </w:rPr>
        <w:t xml:space="preserve">These tests have limits. Overlap and entailment scores do not certify legal correctness, and the NLI and toxicity models were trained on general text rather than legal text. The test set is small, and all results describe the zero-shot configuration, so they must be repeated after fine-tuning. [A small sample of outputs was also reviewed by our legal collaborator.] A final judgement on legal accuracy needs expert review, which automated testing supports but does not replace.</w:t>
      </w:r>
    </w:p>
    <w:p>
      <w:pPr>
        <w:spacing w:after="0" w:before="0" w:line="240"/>
        <w:ind w:firstLine="240"/>
        <w:jc w:val="both"/>
      </w:pPr>
      <w:r>
        <w:rPr>
          <w:rFonts w:ascii="Times New Roman" w:cs="Times New Roman" w:eastAsia="Times New Roman" w:hAnsi="Times New Roman"/>
          <w:sz w:val="20"/>
          <w:szCs w:val="20"/>
        </w:rPr>
        <w:t xml:space="preserve">All results above describe the zero-shot baseline. We expect fine-tuning to change summary style and abstractiveness, so the tests will be repeated on the fine-tuned model and compared against this baseline.</w:t>
      </w:r>
    </w:p>
    <w:p>
      <w:pPr>
        <w:pStyle w:val="Heading1"/>
        <w:keepNext/>
        <w:spacing w:after="80" w:before="200"/>
        <w:jc w:val="center"/>
      </w:pPr>
      <w:r>
        <w:rPr>
          <w:rFonts w:ascii="Times New Roman" w:cs="Times New Roman" w:eastAsia="Times New Roman" w:hAnsi="Times New Roman"/>
          <w:caps/>
          <w:sz w:val="20"/>
          <w:szCs w:val="20"/>
        </w:rPr>
        <w:t xml:space="preserve">VII. Conclusion</w:t>
      </w:r>
    </w:p>
    <w:p>
      <w:pPr>
        <w:spacing w:after="0" w:before="0" w:line="240"/>
        <w:ind w:firstLine="240"/>
        <w:jc w:val="both"/>
      </w:pPr>
      <w:r>
        <w:rPr>
          <w:rFonts w:ascii="Times New Roman" w:cs="Times New Roman" w:eastAsia="Times New Roman" w:hAnsi="Times New Roman"/>
          <w:sz w:val="20"/>
          <w:szCs w:val="20"/>
        </w:rPr>
        <w:t xml:space="preserve">LegalLens demonstrates that a rhetorical-role-aware, citation-verified pipeline can convert long, technically dense Indian court judgments into two audience-appropriate summaries without sacrificing traceability back to the source text. The learned section classifier, trained on the combined MARRO and OpenNyAI InRhetoricalRoles corpora, exceeds a 70% accuracy threshold on a held-out hand-labelled gold set and outperforms a purely rule-based baseline, while the cross-encoder-based citation verification stage achieves a high verified rate on a small evaluation sample. The section-summary alignment procedure closes an important gap between whole-document summarization datasets and the section-specific supervision that fine-tuning a rhetorical-role-aware summarizer requires. Current limitations include the summarizer’s zero-shot, largely extractive behaviour prior to fine-tuning, a moderate rate of alignment ambiguity attributable to the use of a general-domain rather than legal-domain cross-encoder, and a jargon dictionary that is intentionally prototype-scale. Future work includes fine-tuning the summarizer on the constructed section-aligned training data, expanding the jargon-substitution dictionary, and evaluating generated summaries against reference summaries using standard metrics such as ROUGE and BERTScore.</w:t>
      </w:r>
    </w:p>
    <w:p>
      <w:pPr>
        <w:pStyle w:val="Heading1"/>
        <w:keepNext/>
        <w:spacing w:after="80" w:before="200"/>
        <w:jc w:val="center"/>
      </w:pPr>
      <w:r>
        <w:rPr>
          <w:rFonts w:ascii="Times New Roman" w:cs="Times New Roman" w:eastAsia="Times New Roman" w:hAnsi="Times New Roman"/>
          <w:caps/>
          <w:sz w:val="20"/>
          <w:szCs w:val="20"/>
        </w:rPr>
        <w:t xml:space="preserve">Author Contributions</w:t>
      </w:r>
    </w:p>
    <w:p>
      <w:pPr>
        <w:spacing w:after="0" w:before="0" w:line="240"/>
        <w:ind w:firstLine="240"/>
        <w:jc w:val="both"/>
      </w:pPr>
      <w:r>
        <w:rPr>
          <w:rFonts w:ascii="Times New Roman" w:cs="Times New Roman" w:eastAsia="Times New Roman" w:hAnsi="Times New Roman"/>
          <w:sz w:val="20"/>
          <w:szCs w:val="20"/>
        </w:rPr>
        <w:t xml:space="preserve">S. K. J. contributed to the title, introduction, related work, evaluation and testing, and references. M. R. I. contributed to the abstract, introduction, methodology, and references. S. N. contributed to the keywords, introduction, methodology, and references. A. M. R. contributed to the introduction, methodology, conclusion, and references. T. S. K. (faculty guide, Professor, Department of CSE) supervised the project and provided guidance. A. P. S. participated as collaborator.</w:t>
      </w:r>
    </w:p>
    <w:p>
      <w:pPr>
        <w:pStyle w:val="Heading1"/>
        <w:keepNext/>
        <w:spacing w:after="80" w:before="200"/>
        <w:jc w:val="center"/>
      </w:pPr>
      <w:r>
        <w:rPr>
          <w:rFonts w:ascii="Times New Roman" w:cs="Times New Roman" w:eastAsia="Times New Roman" w:hAnsi="Times New Roman"/>
          <w:caps/>
          <w:sz w:val="20"/>
          <w:szCs w:val="20"/>
        </w:rPr>
        <w:t xml:space="preserve">References</w:t>
      </w:r>
    </w:p>
    <w:p>
      <w:pPr>
        <w:tabs>
          <w:tab w:val="left" w:pos="360"/>
        </w:tabs>
        <w:spacing w:after="20" w:line="228"/>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A. Patel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“Summarizing Indian court judgments: A comparative study of hybrid pipelines and fine-tuned LLMs,” in </w:t>
      </w:r>
      <w:r>
        <w:rPr>
          <w:rFonts w:ascii="Times New Roman" w:cs="Times New Roman" w:eastAsia="Times New Roman" w:hAnsi="Times New Roman"/>
          <w:i/>
          <w:iCs/>
          <w:sz w:val="16"/>
          <w:szCs w:val="16"/>
        </w:rPr>
        <w:t xml:space="preserve">Proc. Int. Conf. Artif. Intell. Law (ICAIL)</w:t>
      </w:r>
      <w:r>
        <w:rPr>
          <w:rFonts w:ascii="Times New Roman" w:cs="Times New Roman" w:eastAsia="Times New Roman" w:hAnsi="Times New Roman"/>
          <w:sz w:val="16"/>
          <w:szCs w:val="16"/>
        </w:rPr>
        <w:t xml:space="preserve">, 2024.</w:t>
      </w:r>
    </w:p>
    <w:p>
      <w:pPr>
        <w:tabs>
          <w:tab w:val="left" w:pos="360"/>
        </w:tabs>
        <w:spacing w:after="20" w:line="228"/>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M. Ansar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“LeSum: Topic-guided graph-based extractive compression for long legal document summarization,” in </w:t>
      </w:r>
      <w:r>
        <w:rPr>
          <w:rFonts w:ascii="Times New Roman" w:cs="Times New Roman" w:eastAsia="Times New Roman" w:hAnsi="Times New Roman"/>
          <w:i/>
          <w:iCs/>
          <w:sz w:val="16"/>
          <w:szCs w:val="16"/>
        </w:rPr>
        <w:t xml:space="preserve">Findings Assoc. Comput. Linguistics (ACL)</w:t>
      </w:r>
      <w:r>
        <w:rPr>
          <w:rFonts w:ascii="Times New Roman" w:cs="Times New Roman" w:eastAsia="Times New Roman" w:hAnsi="Times New Roman"/>
          <w:sz w:val="16"/>
          <w:szCs w:val="16"/>
        </w:rPr>
        <w:t xml:space="preserve">, 2024.</w:t>
      </w:r>
    </w:p>
    <w:p>
      <w:pPr>
        <w:tabs>
          <w:tab w:val="left" w:pos="360"/>
        </w:tabs>
        <w:spacing w:after="20" w:line="228"/>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F. Nazly and R. D. Yapa, “Legal document summarization: A short review,” </w:t>
      </w:r>
      <w:r>
        <w:rPr>
          <w:rFonts w:ascii="Times New Roman" w:cs="Times New Roman" w:eastAsia="Times New Roman" w:hAnsi="Times New Roman"/>
          <w:i/>
          <w:iCs/>
          <w:sz w:val="16"/>
          <w:szCs w:val="16"/>
        </w:rPr>
        <w:t xml:space="preserve">Front. Artif. Intell.</w:t>
      </w:r>
      <w:r>
        <w:rPr>
          <w:rFonts w:ascii="Times New Roman" w:cs="Times New Roman" w:eastAsia="Times New Roman" w:hAnsi="Times New Roman"/>
          <w:sz w:val="16"/>
          <w:szCs w:val="16"/>
        </w:rPr>
        <w:t xml:space="preserve">, vol. 9, Art. no. 1787315, 2026.</w:t>
      </w:r>
    </w:p>
    <w:p>
      <w:pPr>
        <w:tabs>
          <w:tab w:val="left" w:pos="360"/>
        </w:tabs>
        <w:spacing w:after="20" w:line="228"/>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Z. He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“Large language models for legal tasks: A comprehensive survey,” </w:t>
      </w:r>
      <w:r>
        <w:rPr>
          <w:rFonts w:ascii="Times New Roman" w:cs="Times New Roman" w:eastAsia="Times New Roman" w:hAnsi="Times New Roman"/>
          <w:i/>
          <w:iCs/>
          <w:sz w:val="16"/>
          <w:szCs w:val="16"/>
        </w:rPr>
        <w:t xml:space="preserve">IEEE Trans. Knowl. Data Eng.</w:t>
      </w:r>
      <w:r>
        <w:rPr>
          <w:rFonts w:ascii="Times New Roman" w:cs="Times New Roman" w:eastAsia="Times New Roman" w:hAnsi="Times New Roman"/>
          <w:sz w:val="16"/>
          <w:szCs w:val="16"/>
        </w:rPr>
        <w:t xml:space="preserve">, 2024.</w:t>
      </w:r>
    </w:p>
    <w:p>
      <w:pPr>
        <w:tabs>
          <w:tab w:val="left" w:pos="360"/>
        </w:tabs>
        <w:spacing w:after="20" w:line="228"/>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C. Moro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“LegalEase: Plain-language legal lay summarization using encoder–decoder and large language models,” </w:t>
      </w:r>
      <w:r>
        <w:rPr>
          <w:rFonts w:ascii="Times New Roman" w:cs="Times New Roman" w:eastAsia="Times New Roman" w:hAnsi="Times New Roman"/>
          <w:i/>
          <w:iCs/>
          <w:sz w:val="16"/>
          <w:szCs w:val="16"/>
        </w:rPr>
        <w:t xml:space="preserve">Neural Comput. Appl.</w:t>
      </w:r>
      <w:r>
        <w:rPr>
          <w:rFonts w:ascii="Times New Roman" w:cs="Times New Roman" w:eastAsia="Times New Roman" w:hAnsi="Times New Roman"/>
          <w:sz w:val="16"/>
          <w:szCs w:val="16"/>
        </w:rPr>
        <w:t xml:space="preserve">, 2025.</w:t>
      </w:r>
    </w:p>
    <w:p>
      <w:pPr>
        <w:tabs>
          <w:tab w:val="left" w:pos="360"/>
        </w:tabs>
        <w:spacing w:after="20" w:line="228"/>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Garfield AI and Solicitors Regulation Authority, “Garfield AI: Regulatory approval and automated claims processing framework,” Solicitors Regulation Authority, U.K., Regulatory Decision Rep., 2025.</w:t>
      </w:r>
    </w:p>
    <w:p>
      <w:pPr>
        <w:tabs>
          <w:tab w:val="left" w:pos="360"/>
        </w:tabs>
        <w:spacing w:after="20" w:line="228"/>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IEEE DataPort, “Indian legal documents summaries.” [Online]. Available: https://ieee-dataport.org/documents/indian-legal-documents-summaries</w:t>
      </w:r>
    </w:p>
    <w:p>
      <w:pPr>
        <w:tabs>
          <w:tab w:val="left" w:pos="360"/>
        </w:tabs>
        <w:spacing w:after="20" w:line="228"/>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Bubbles01, “Legal document summarization,” Hugging Face Datasets. [Online]. Available: https://huggingface.co/datasets/bubbles01/legal-document-summarization</w:t>
      </w:r>
    </w:p>
    <w:p>
      <w:pPr>
        <w:tabs>
          <w:tab w:val="left" w:pos="360"/>
        </w:tabs>
        <w:spacing w:after="20" w:line="228"/>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M. Lewis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“BART: Denoising sequence-to-sequence pre-training for natural language generation, translation, and comprehension,” in </w:t>
      </w:r>
      <w:r>
        <w:rPr>
          <w:rFonts w:ascii="Times New Roman" w:cs="Times New Roman" w:eastAsia="Times New Roman" w:hAnsi="Times New Roman"/>
          <w:i/>
          <w:iCs/>
          <w:sz w:val="16"/>
          <w:szCs w:val="16"/>
        </w:rPr>
        <w:t xml:space="preserve">Proc. 58th Annu. Meeting Assoc. Comput. Linguistics</w:t>
      </w:r>
      <w:r>
        <w:rPr>
          <w:rFonts w:ascii="Times New Roman" w:cs="Times New Roman" w:eastAsia="Times New Roman" w:hAnsi="Times New Roman"/>
          <w:sz w:val="16"/>
          <w:szCs w:val="16"/>
        </w:rPr>
        <w:t xml:space="preserve">, 2020, pp. 7871–7880.</w:t>
      </w:r>
    </w:p>
    <w:p>
      <w:pPr>
        <w:tabs>
          <w:tab w:val="left" w:pos="360"/>
        </w:tabs>
        <w:spacing w:after="20" w:line="228"/>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N. Reimers and I. Gurevych, “Sentence-BERT: Sentence embeddings using Siamese BERT-networks,” in </w:t>
      </w:r>
      <w:r>
        <w:rPr>
          <w:rFonts w:ascii="Times New Roman" w:cs="Times New Roman" w:eastAsia="Times New Roman" w:hAnsi="Times New Roman"/>
          <w:i/>
          <w:iCs/>
          <w:sz w:val="16"/>
          <w:szCs w:val="16"/>
        </w:rPr>
        <w:t xml:space="preserve">Proc. Conf. Empirical Methods Natural Lang. Process. (EMNLP)</w:t>
      </w:r>
      <w:r>
        <w:rPr>
          <w:rFonts w:ascii="Times New Roman" w:cs="Times New Roman" w:eastAsia="Times New Roman" w:hAnsi="Times New Roman"/>
          <w:sz w:val="16"/>
          <w:szCs w:val="16"/>
        </w:rPr>
        <w:t xml:space="preserve">, 2019, pp. 3982–3992.</w:t>
      </w:r>
    </w:p>
    <w:p>
      <w:pPr>
        <w:tabs>
          <w:tab w:val="left" w:pos="360"/>
        </w:tabs>
        <w:spacing w:after="20" w:line="228"/>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J. Amoros, “A guide to LLM testing and evaluation for modern QA teams,” TestQuality, 2025. [Online]. Available: https://testquality.com/llm-testing-and-evaluation-qa-guide/</w:t>
      </w:r>
    </w:p>
    <w:p>
      <w:pPr>
        <w:tabs>
          <w:tab w:val="left" w:pos="360"/>
        </w:tabs>
        <w:spacing w:after="20" w:line="228"/>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C.-Y. Lin, “ROUGE: A package for automatic evaluation of summaries,” in </w:t>
      </w:r>
      <w:r>
        <w:rPr>
          <w:rFonts w:ascii="Times New Roman" w:cs="Times New Roman" w:eastAsia="Times New Roman" w:hAnsi="Times New Roman"/>
          <w:i/>
          <w:iCs/>
          <w:sz w:val="16"/>
          <w:szCs w:val="16"/>
        </w:rPr>
        <w:t xml:space="preserve">Text Summarization Branches Out: Proc. ACL-04 Workshop</w:t>
      </w:r>
      <w:r>
        <w:rPr>
          <w:rFonts w:ascii="Times New Roman" w:cs="Times New Roman" w:eastAsia="Times New Roman" w:hAnsi="Times New Roman"/>
          <w:sz w:val="16"/>
          <w:szCs w:val="16"/>
        </w:rPr>
        <w:t xml:space="preserve">, 2004, pp. 74–81.</w:t>
      </w:r>
    </w:p>
    <w:p>
      <w:pPr>
        <w:tabs>
          <w:tab w:val="left" w:pos="360"/>
        </w:tabs>
        <w:spacing w:after="20" w:line="228"/>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T. Zhang, V. Kishore, F. Wu, K. Q. Weinberger, and Y. Artzi, “BERTScore: Evaluating text generation with BERT,” in </w:t>
      </w:r>
      <w:r>
        <w:rPr>
          <w:rFonts w:ascii="Times New Roman" w:cs="Times New Roman" w:eastAsia="Times New Roman" w:hAnsi="Times New Roman"/>
          <w:i/>
          <w:iCs/>
          <w:sz w:val="16"/>
          <w:szCs w:val="16"/>
        </w:rPr>
        <w:t xml:space="preserve">Proc. Int. Conf. Learn. Represent. (ICLR)</w:t>
      </w:r>
      <w:r>
        <w:rPr>
          <w:rFonts w:ascii="Times New Roman" w:cs="Times New Roman" w:eastAsia="Times New Roman" w:hAnsi="Times New Roman"/>
          <w:sz w:val="16"/>
          <w:szCs w:val="16"/>
        </w:rPr>
        <w:t xml:space="preserve">, 2020.</w:t>
      </w:r>
    </w:p>
    <w:p>
      <w:pPr>
        <w:tabs>
          <w:tab w:val="left" w:pos="360"/>
        </w:tabs>
        <w:spacing w:after="20" w:line="228"/>
        <w:ind w:left="360" w:hanging="3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S. Es, J. James, L. Espinosa-Anke, and S. Schockaert, “RAGAs: Automated evaluation of retrieval augmented generation,” in </w:t>
      </w:r>
      <w:r>
        <w:rPr>
          <w:rFonts w:ascii="Times New Roman" w:cs="Times New Roman" w:eastAsia="Times New Roman" w:hAnsi="Times New Roman"/>
          <w:i/>
          <w:iCs/>
          <w:sz w:val="16"/>
          <w:szCs w:val="16"/>
        </w:rPr>
        <w:t xml:space="preserve">Proc. 18th Conf. Eur. Chapter Assoc. Comput. Linguistics: Syst. Demonstrations (EACL)</w:t>
      </w:r>
      <w:r>
        <w:rPr>
          <w:rFonts w:ascii="Times New Roman" w:cs="Times New Roman" w:eastAsia="Times New Roman" w:hAnsi="Times New Roman"/>
          <w:sz w:val="16"/>
          <w:szCs w:val="16"/>
        </w:rPr>
        <w:t xml:space="preserve">, 2024.</w:t>
      </w:r>
    </w:p>
    <w:p>
      <w:pPr>
        <w:tabs>
          <w:tab w:val="left" w:pos="360"/>
        </w:tabs>
        <w:spacing w:after="20" w:line="228"/>
        <w:ind w:left="360" w:hanging="36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Y. Liu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“G-Eval: NLG evaluation using GPT-4 with better human alignment,” in </w:t>
      </w:r>
      <w:r>
        <w:rPr>
          <w:rFonts w:ascii="Times New Roman" w:cs="Times New Roman" w:eastAsia="Times New Roman" w:hAnsi="Times New Roman"/>
          <w:i/>
          <w:iCs/>
          <w:sz w:val="16"/>
          <w:szCs w:val="16"/>
        </w:rPr>
        <w:t xml:space="preserve">Proc. Conf. Empirical Methods Natural Lang. Process. (EMNLP)</w:t>
      </w:r>
      <w:r>
        <w:rPr>
          <w:rFonts w:ascii="Times New Roman" w:cs="Times New Roman" w:eastAsia="Times New Roman" w:hAnsi="Times New Roman"/>
          <w:sz w:val="16"/>
          <w:szCs w:val="16"/>
        </w:rPr>
        <w:t xml:space="preserve">, 2023.</w:t>
      </w:r>
    </w:p>
    <w:sectPr>
      <w:type w:val="continuous"/>
      <w:pgSz w:w="12240" w:h="15840" w:orient="portrait"/>
      <w:pgMar w:top="1080" w:right="900" w:bottom="1080" w:left="900" w:header="500" w:footer="500" w:gutter="0"/>
      <w:pgNumType/>
      <w:cols w:space="360" w:num="2" w:equalWidth="tru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tabs>
        <w:tab w:val="right" w:pos="10440"/>
      </w:tabs>
    </w:pPr>
    <w:r>
      <w:rPr>
        <w:rFonts w:ascii="Times New Roman" w:cs="Times New Roman" w:eastAsia="Times New Roman" w:hAnsi="Times New Roman"/>
        <w:sz w:val="16"/>
        <w:szCs w:val="16"/>
      </w:rPr>
      <w:t xml:space="preserve">VOLUME XX, 2026</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tabs>
        <w:tab w:val="right" w:pos="10440"/>
      </w:tabs>
    </w:pPr>
    <w:r>
      <w:rPr>
        <w:rFonts w:ascii="Times New Roman" w:cs="Times New Roman" w:eastAsia="Times New Roman" w:hAnsi="Times New Roman"/>
        <w:sz w:val="16"/>
        <w:szCs w:val="16"/>
      </w:rPr>
      <w:t xml:space="preserve">VOLUME XX, 2026</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jc w:val="center"/>
    </w:pPr>
    <w:r>
      <w:rPr>
        <w:rFonts w:ascii="Times New Roman" w:cs="Times New Roman" w:eastAsia="Times New Roman" w:hAnsi="Times New Roman"/>
        <w:i/>
        <w:iCs/>
        <w:sz w:val="16"/>
        <w:szCs w:val="16"/>
      </w:rPr>
      <w:t xml:space="preserve">K. J. Sivasubramani et al.: LegalLens: Citation-Verified Summarization of Indian Court Judgments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rFonts w:ascii="Times New Roman" w:cs="Times New Roman" w:eastAsia="Times New Roman" w:hAnsi="Times New Roman"/>
        <w:sz w:val="16"/>
        <w:szCs w:val="16"/>
      </w:rPr>
      <w:t xml:space="preserve">Date of publication xxxx 00, 0000, date of current version xxxx 00, 0000.</w:t>
    </w:r>
  </w:p>
  <w:p>
    <w:pPr>
      <w:spacing w:after="0"/>
    </w:pPr>
    <w:r>
      <w:rPr>
        <w:rFonts w:ascii="Times New Roman" w:cs="Times New Roman" w:eastAsia="Times New Roman" w:hAnsi="Times New Roman"/>
        <w:sz w:val="16"/>
        <w:szCs w:val="16"/>
      </w:rPr>
      <w:t xml:space="preserve">Digital Object Identifier 10.1109/ACCESS.2026.0000000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val="false"/>
      <w:bCs w:val="false"/>
      <w:color w:val="000000"/>
      <w:sz w:val="20"/>
      <w:szCs w:val="20"/>
    </w:rPr>
  </w:style>
  <w:style w:type="paragraph" w:styleId="Heading2">
    <w:name w:val="Heading 2"/>
    <w:basedOn w:val="Normal"/>
    <w:next w:val="Normal"/>
    <w:qFormat/>
    <w:pPr>
      <w:outlineLvl w:val="1"/>
    </w:pPr>
    <w:rPr>
      <w:rFonts w:ascii="Times New Roman" w:cs="Times New Roman" w:eastAsia="Times New Roman" w:hAnsi="Times New Roman"/>
      <w:b w:val="false"/>
      <w:bCs w:val="false"/>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eddf0eb39fbda42652cd816022aa6f1480a176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LegalLens: A Dual-Mode, Citation-Verified Framework for Rhetorical-Role-Aware Summarization of Indian Court Judgments</dc:title>
  <dc:creator>LegalLens authors</dc:creator>
  <cp:lastModifiedBy>Un-named</cp:lastModifiedBy>
  <cp:revision>1</cp:revision>
  <dcterms:created xsi:type="dcterms:W3CDTF">2026-10-15T05:50:23.861Z</dcterms:created>
  <dcterms:modified xsi:type="dcterms:W3CDTF">2026-10-15T05:50:23.863Z</dcterms:modified>
</cp:coreProperties>
</file>

<file path=docProps/custom.xml><?xml version="1.0" encoding="utf-8"?>
<Properties xmlns="http://schemas.openxmlformats.org/officeDocument/2006/custom-properties" xmlns:vt="http://schemas.openxmlformats.org/officeDocument/2006/docPropsVTypes"/>
</file>