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Research Decision Log (Updated)</w:t>
      </w:r>
    </w:p>
    <w:p>
      <w:pPr>
        <w:pStyle w:val="Heading2"/>
      </w:pPr>
      <w:r>
        <w:rPr>
          <w:sz w:val="22"/>
        </w:rPr>
        <w:t>Decision 01: Research direction</w:t>
      </w:r>
    </w:p>
    <w:p>
      <w:r>
        <w:rPr>
          <w:sz w:val="22"/>
        </w:rPr>
        <w:t>Decision: The final thesis focuses on cross-stock generalisation, calibration, and explanation stability.</w:t>
        <w:br/>
        <w:t>Reason: Accuracy alone is insufficient to demonstrate trustworthy financial prediction.</w:t>
        <w:br/>
        <w:t>Alternative considered: LLM-centred stock forecasting.</w:t>
        <w:br/>
        <w:t>Impact: LLM experiments became a secondary historical pilot rather than the main thesis contribution.</w:t>
      </w:r>
    </w:p>
    <w:p>
      <w:pPr>
        <w:pStyle w:val="Heading2"/>
      </w:pPr>
      <w:r>
        <w:rPr>
          <w:sz w:val="22"/>
        </w:rPr>
        <w:t>Decision 02: Dataset scope</w:t>
      </w:r>
    </w:p>
    <w:p>
      <w:r>
        <w:rPr>
          <w:sz w:val="22"/>
        </w:rPr>
        <w:t>Decision: Use five stocks: BRK-B, CVX, GE, MSFT, NVDA.</w:t>
        <w:br/>
        <w:t>Reason: Provides company diversity while keeping experiments manageable.</w:t>
        <w:br/>
        <w:t>Impact: Enables pooled, stock-specific, and leave-one-stock-out evaluation.</w:t>
      </w:r>
    </w:p>
    <w:p>
      <w:pPr>
        <w:pStyle w:val="Heading2"/>
      </w:pPr>
      <w:r>
        <w:rPr>
          <w:sz w:val="22"/>
        </w:rPr>
        <w:t>Decision 03: Prediction target</w:t>
      </w:r>
    </w:p>
    <w:p>
      <w:r>
        <w:rPr>
          <w:sz w:val="22"/>
        </w:rPr>
        <w:t>Decision: Predict five-trading-day future movement.</w:t>
        <w:br/>
        <w:t>Reason: Creates a short-term classification task aligned with practical forecasting evaluation.</w:t>
      </w:r>
    </w:p>
    <w:p>
      <w:pPr>
        <w:pStyle w:val="Heading2"/>
      </w:pPr>
      <w:r>
        <w:rPr>
          <w:sz w:val="22"/>
        </w:rPr>
        <w:t>Decision 04: Threshold selection</w:t>
      </w:r>
    </w:p>
    <w:p>
      <w:r>
        <w:rPr>
          <w:sz w:val="22"/>
        </w:rPr>
        <w:t>Decision: Use -1.5% and +1.5% thresholds.</w:t>
        <w:br/>
        <w:t>Reason: Produces Down, Neutral, and Up classes with acceptable balance.</w:t>
      </w:r>
    </w:p>
    <w:p>
      <w:pPr>
        <w:pStyle w:val="Heading2"/>
      </w:pPr>
      <w:r>
        <w:rPr>
          <w:sz w:val="22"/>
        </w:rPr>
        <w:t>Decision 05: Temporal evaluation</w:t>
      </w:r>
    </w:p>
    <w:p>
      <w:r>
        <w:rPr>
          <w:sz w:val="22"/>
        </w:rPr>
        <w:t>Decision: Avoid random splitting.</w:t>
        <w:br/>
        <w:t>Reason: Random splitting may introduce future information and unrealistic performance estimates.</w:t>
      </w:r>
    </w:p>
    <w:p>
      <w:pPr>
        <w:pStyle w:val="Heading2"/>
      </w:pPr>
      <w:r>
        <w:rPr>
          <w:sz w:val="22"/>
        </w:rPr>
        <w:t>Decision 06: Feature design</w:t>
      </w:r>
    </w:p>
    <w:p>
      <w:r>
        <w:rPr>
          <w:sz w:val="22"/>
        </w:rPr>
        <w:t>Decision: Combine technical indicators, GDELT sentiment features, and market context features.</w:t>
        <w:br/>
        <w:t>Reason: Stock movement is influenced by multiple information sources.</w:t>
      </w:r>
    </w:p>
    <w:p>
      <w:pPr>
        <w:pStyle w:val="Heading2"/>
      </w:pPr>
      <w:r>
        <w:rPr>
          <w:sz w:val="22"/>
        </w:rPr>
        <w:t>Decision 07: Model selection</w:t>
      </w:r>
    </w:p>
    <w:p>
      <w:r>
        <w:t>Decision: Use Dummy, L2 Logistic Regression, Random Forest, and XGBoost as the primary classical models. Add a 30-day-lookback LSTM as a supplementary deep-learning baseline.</w:t>
        <w:br/>
        <w:t>Reason: The classical models provide the main tabular baselines for the thesis, while the LSTM allows the Deep Learning course component to be represented without changing the central research direction.</w:t>
        <w:br/>
        <w:t>Impact: LSTM results are evaluated using the same stock-specific temporal test framework but are not treated as the main thesis contribution.</w:t>
      </w:r>
    </w:p>
    <w:p>
      <w:pPr>
        <w:pStyle w:val="Heading2"/>
      </w:pPr>
      <w:r>
        <w:rPr>
          <w:sz w:val="22"/>
        </w:rPr>
        <w:t>Decision 08: Reliability and explainability</w:t>
      </w:r>
    </w:p>
    <w:p>
      <w:r>
        <w:rPr>
          <w:sz w:val="22"/>
        </w:rPr>
        <w:t>Decision: Include calibration and explanation stability analysis.</w:t>
        <w:br/>
        <w:t>Reason: The research contribution is model trustworthiness, not only predictive performance.</w:t>
      </w:r>
    </w:p>
    <w:p>
      <w:pPr>
        <w:pStyle w:val="Heading2"/>
      </w:pPr>
      <w:r>
        <w:rPr>
          <w:sz w:val="22"/>
        </w:rPr>
        <w:t>Decision 09: LLM experiment</w:t>
      </w:r>
    </w:p>
    <w:p>
      <w:r>
        <w:rPr>
          <w:sz w:val="22"/>
        </w:rPr>
        <w:t>Decision: Keep the LLM leakage experiment as historical work only.</w:t>
        <w:br/>
        <w:t>Reason: The thesis direction shifted toward broader machine-learning reliability evaluation.</w:t>
      </w:r>
    </w:p>
    <w:p>
      <w:pPr>
        <w:pStyle w:val="Heading2"/>
      </w:pPr>
      <w:r>
        <w:rPr>
          <w:sz w:val="22"/>
        </w:rPr>
        <w:t>Decision 10: Short-term technical indicators</w:t>
      </w:r>
    </w:p>
    <w:p>
      <w:r>
        <w:rPr>
          <w:sz w:val="22"/>
        </w:rPr>
        <w:t>Decision: Do not rebuild the pipeline immediately for SMA_5/EMA_5.</w:t>
        <w:br/>
        <w:t>Reason: Existing features are valid. Short-term features can be evaluated as a controlled robustness experiment later.</w:t>
      </w:r>
    </w:p>
    <w:p>
      <w:pPr>
        <w:pStyle w:val="Heading2"/>
      </w:pPr>
      <w:r>
        <w:t>Decision 11: Stock-specific baseline execution</w:t>
      </w:r>
    </w:p>
    <w:p>
      <w:r>
        <w:t>Decision: Evaluate each of the five models separately for each stock using the same fixed-year temporal split.</w:t>
        <w:br/>
        <w:t>Reason: This preserves stock-specific behaviour while preventing the modelling code from obscuring the experimental structure.</w:t>
        <w:br/>
        <w:t>Impact: Notebook 08 contains 25 stock-model evaluations (5 stocks × 5 models), with results retained for later comparison.</w:t>
      </w:r>
    </w:p>
    <w:p>
      <w:pPr>
        <w:pStyle w:val="Heading2"/>
      </w:pPr>
      <w:r>
        <w:t>Decision 12: LSTM as a supplementary deep-learning baseline</w:t>
      </w:r>
    </w:p>
    <w:p>
      <w:r>
        <w:t>Decision: Include LSTM in Notebook 08 as a supplementary deep-learning baseline.</w:t>
        <w:br/>
        <w:t>Reason: The project represents a Deep Learning course while the thesis itself remains focused on reliability, cross-stock generalisation, calibration, and explanation stability.</w:t>
        <w:br/>
        <w:t>Impact: LSTM uses a 30-trading-day lookback and the same 2025 temporal test period. It is not assumed to outperform the classical models and is not used to redefine the thesis contribution.</w:t>
      </w:r>
    </w:p>
    <w:p>
      <w:pPr>
        <w:pStyle w:val="Heading2"/>
      </w:pPr>
      <w:r>
        <w:t>Decision 13: LSTM reproducibility and hardware</w:t>
      </w:r>
    </w:p>
    <w:p>
      <w:r>
        <w:t>Decision: Control random seeds for LSTM experiments and treat GPU acceleration as optional rather than required.</w:t>
        <w:br/>
        <w:t>Reason: The current LSTM is small enough to run on CPU, while repeated neural-network runs can differ because of stochastic initialization and optimization. Hardware differences should not be interpreted as evidence of model superiority.</w:t>
        <w:br/>
        <w:t>Impact: LSTM results will be documented with reproducibility controls before final reliability conclusions are drawn.</w:t>
      </w:r>
    </w:p>
    <w:p>
      <w:pPr>
        <w:pStyle w:val="Heading2"/>
      </w:pPr>
      <w:r>
        <w:t>Decision 14: Notebook 09 transition</w:t>
      </w:r>
    </w:p>
    <w:p>
      <w:r>
        <w:t>Decision: Freeze Notebook 08 as the stock-specific baseline stage and proceed to Notebook 09 for reliability evaluation.</w:t>
        <w:br/>
        <w:t>Reason: The five-stock baseline experiment is complete; adding further modelling complexity would mix baseline construction with downstream reliability analysis.</w:t>
        <w:br/>
        <w:t>Impact: Notebook 09 will focus on probability quality and reliability metrics rather than adding new baseline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