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Arial" w:cs="Arial" w:eastAsia="Arial" w:hAnsi="Arial"/>
          <w:b/>
          <w:bCs/>
          <w:color w:val="1F3864"/>
          <w:sz w:val="52"/>
          <w:szCs w:val="52"/>
        </w:rPr>
        <w:t xml:space="preserve">BLUESTOCK FINTECH</w:t>
      </w:r>
    </w:p>
    <w:p>
      <w:pPr>
        <w:spacing w:after="240" w:before="0"/>
        <w:jc w:val="center"/>
      </w:pPr>
      <w:r>
        <w:rPr>
          <w:rFonts w:ascii="Arial" w:cs="Arial" w:eastAsia="Arial" w:hAnsi="Arial"/>
          <w:b/>
          <w:bCs/>
          <w:color w:val="2E75B6"/>
          <w:sz w:val="40"/>
          <w:szCs w:val="40"/>
        </w:rPr>
        <w:t xml:space="preserve">Mutual Fund Analytics Platform</w:t>
      </w:r>
    </w:p>
    <w:p>
      <w:pPr>
        <w:spacing w:after="720" w:before="0"/>
        <w:jc w:val="center"/>
      </w:pPr>
      <w:r>
        <w:rPr>
          <w:rFonts w:ascii="Arial" w:cs="Arial" w:eastAsia="Arial" w:hAnsi="Arial"/>
          <w:color w:val="444444"/>
          <w:sz w:val="26"/>
          <w:szCs w:val="26"/>
        </w:rPr>
        <w:t xml:space="preserve">End-to-End Data Engineering, ETL Pipeline &amp; Interactive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2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312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20"/>
                <w:szCs w:val="20"/>
              </w:rPr>
              <w:t xml:space="preserve">Prepared By</w:t>
            </w:r>
          </w:p>
        </w:tc>
        <w:tc>
          <w:tcPr>
            <w:tcW w:type="dxa" w:w="624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20"/>
                <w:szCs w:val="20"/>
              </w:rPr>
              <w:t xml:space="preserve">Soham Joshi (jsoham544)</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Company</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Bluestock Fintech Pvt. Ltd.</w:t>
            </w:r>
          </w:p>
        </w:tc>
      </w:tr>
      <w:tr>
        <w:tc>
          <w:tcPr>
            <w:tcW w:type="dxa" w:w="312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20"/>
                <w:szCs w:val="20"/>
              </w:rPr>
              <w:t xml:space="preserve">Domain</w:t>
            </w:r>
          </w:p>
        </w:tc>
        <w:tc>
          <w:tcPr>
            <w:tcW w:type="dxa" w:w="624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20"/>
                <w:szCs w:val="20"/>
              </w:rPr>
              <w:t xml:space="preserve">Mutual Fund / Fintech</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Duration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 Working Days | ~50-55 Hours</w:t>
            </w:r>
          </w:p>
        </w:tc>
      </w:tr>
      <w:tr>
        <w:tc>
          <w:tcPr>
            <w:tcW w:type="dxa" w:w="312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20"/>
                <w:szCs w:val="20"/>
              </w:rPr>
              <w:t xml:space="preserve">Date</w:t>
            </w:r>
          </w:p>
        </w:tc>
        <w:tc>
          <w:tcPr>
            <w:tcW w:type="dxa" w:w="624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20"/>
                <w:szCs w:val="20"/>
              </w:rPr>
              <w:t xml:space="preserve">June 2026</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Tech Stack</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Python, Pandas, SQLite, Power BI, Matplotlib, Seaborn</w:t>
            </w:r>
          </w:p>
        </w:tc>
      </w:tr>
      <w:tr>
        <w:tc>
          <w:tcPr>
            <w:tcW w:type="dxa" w:w="312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20"/>
                <w:szCs w:val="20"/>
              </w:rPr>
              <w:t xml:space="preserve">GitHub</w:t>
            </w:r>
          </w:p>
        </w:tc>
        <w:tc>
          <w:tcPr>
            <w:tcW w:type="dxa" w:w="624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20"/>
                <w:szCs w:val="20"/>
              </w:rPr>
              <w:t xml:space="preserve">github.com/Physics0070/capstone-project</w:t>
            </w:r>
          </w:p>
        </w:tc>
      </w:tr>
    </w:tbl>
    <w:p>
      <w:pPr>
        <w:spacing w:after="120" w:before="120"/>
      </w:pPr>
      <w:r>
        <w:t xml:space="preserve"/>
      </w:r>
    </w:p>
    <w:p>
      <w:r>
        <w:br w:type="page"/>
      </w:r>
    </w:p>
    <w:p>
      <w:pPr>
        <w:pStyle w:val="Heading1"/>
        <w:pBdr>
          <w:bottom w:val="single" w:color="2E75B6" w:sz="6" w:space="1"/>
        </w:pBdr>
        <w:spacing w:after="180" w:before="360"/>
      </w:pPr>
      <w:r>
        <w:rPr>
          <w:rFonts w:ascii="Arial" w:cs="Arial" w:eastAsia="Arial" w:hAnsi="Arial"/>
          <w:b/>
          <w:bCs/>
          <w:color w:val="1F3864"/>
          <w:sz w:val="32"/>
          <w:szCs w:val="32"/>
        </w:rPr>
        <w:t xml:space="preserve">1. Executive Summary</w:t>
      </w:r>
    </w:p>
    <w:p>
      <w:pPr>
        <w:spacing w:after="80" w:before="80"/>
        <w:jc w:val="left"/>
      </w:pPr>
      <w:r>
        <w:rPr>
          <w:rFonts w:ascii="Arial" w:cs="Arial" w:eastAsia="Arial" w:hAnsi="Arial"/>
          <w:sz w:val="22"/>
          <w:szCs w:val="22"/>
        </w:rPr>
        <w:t xml:space="preserve">This capstone project delivers a full-stack Mutual Fund Analytics Platform for Bluestock Fintech. The platform ingests publicly available data from AMFI India, transforms it through a Python ETL pipeline, stores it in a relational SQLite database, and presents insights via a 4-page interactive Power BI dashboard.</w:t>
      </w:r>
    </w:p>
    <w:p>
      <w:pPr>
        <w:spacing w:after="120" w:before="120"/>
      </w:pPr>
      <w:r>
        <w:t xml:space="preserve"/>
      </w:r>
    </w:p>
    <w:p>
      <w:pPr>
        <w:spacing w:after="80" w:before="80"/>
        <w:jc w:val="left"/>
      </w:pPr>
      <w:r>
        <w:rPr>
          <w:rFonts w:ascii="Arial" w:cs="Arial" w:eastAsia="Arial" w:hAnsi="Arial"/>
          <w:b/>
          <w:bCs/>
          <w:sz w:val="22"/>
          <w:szCs w:val="22"/>
        </w:rPr>
        <w:t xml:space="preserve">Key outcomes achieved:</w:t>
      </w:r>
    </w:p>
    <w:p>
      <w:pPr>
        <w:pStyle w:val="ListParagraph"/>
        <w:numPr>
          <w:ilvl w:val="0"/>
          <w:numId w:val="2"/>
        </w:numPr>
        <w:spacing w:after="60" w:before="60"/>
      </w:pPr>
      <w:r>
        <w:rPr>
          <w:rFonts w:ascii="Arial" w:cs="Arial" w:eastAsia="Arial" w:hAnsi="Arial"/>
          <w:sz w:val="22"/>
          <w:szCs w:val="22"/>
        </w:rPr>
        <w:t xml:space="preserve">ETL pipeline processing 10 datasets with 87,000+ rows across 40 mutual fund schemes</w:t>
      </w:r>
    </w:p>
    <w:p>
      <w:pPr>
        <w:pStyle w:val="ListParagraph"/>
        <w:numPr>
          <w:ilvl w:val="0"/>
          <w:numId w:val="2"/>
        </w:numPr>
        <w:spacing w:after="60" w:before="60"/>
      </w:pPr>
      <w:r>
        <w:rPr>
          <w:rFonts w:ascii="Arial" w:cs="Arial" w:eastAsia="Arial" w:hAnsi="Arial"/>
          <w:sz w:val="22"/>
          <w:szCs w:val="22"/>
        </w:rPr>
        <w:t xml:space="preserve">SQLite star schema with 8 tables loaded via SQLAlchemy</w:t>
      </w:r>
    </w:p>
    <w:p>
      <w:pPr>
        <w:pStyle w:val="ListParagraph"/>
        <w:numPr>
          <w:ilvl w:val="0"/>
          <w:numId w:val="2"/>
        </w:numPr>
        <w:spacing w:after="60" w:before="60"/>
      </w:pPr>
      <w:r>
        <w:rPr>
          <w:rFonts w:ascii="Arial" w:cs="Arial" w:eastAsia="Arial" w:hAnsi="Arial"/>
          <w:sz w:val="22"/>
          <w:szCs w:val="22"/>
        </w:rPr>
        <w:t xml:space="preserve">15+ EDA charts revealing SIP growth of 2.7x (2022-2026) and folio doubling to 26.12 crore</w:t>
      </w:r>
    </w:p>
    <w:p>
      <w:pPr>
        <w:pStyle w:val="ListParagraph"/>
        <w:numPr>
          <w:ilvl w:val="0"/>
          <w:numId w:val="2"/>
        </w:numPr>
        <w:spacing w:after="60" w:before="60"/>
      </w:pPr>
      <w:r>
        <w:rPr>
          <w:rFonts w:ascii="Arial" w:cs="Arial" w:eastAsia="Arial" w:hAnsi="Arial"/>
          <w:sz w:val="22"/>
          <w:szCs w:val="22"/>
        </w:rPr>
        <w:t xml:space="preserve">Performance metrics computed for all 40 funds: CAGR, Sharpe, Sortino, Alpha, Beta, Max Drawdown</w:t>
      </w:r>
    </w:p>
    <w:p>
      <w:pPr>
        <w:pStyle w:val="ListParagraph"/>
        <w:numPr>
          <w:ilvl w:val="0"/>
          <w:numId w:val="2"/>
        </w:numPr>
        <w:spacing w:after="60" w:before="60"/>
      </w:pPr>
      <w:r>
        <w:rPr>
          <w:rFonts w:ascii="Arial" w:cs="Arial" w:eastAsia="Arial" w:hAnsi="Arial"/>
          <w:sz w:val="22"/>
          <w:szCs w:val="22"/>
        </w:rPr>
        <w:t xml:space="preserve">Fund Scorecard ranking all 40 funds — ICICI Pru Mid Cap tops with score 84.5</w:t>
      </w:r>
    </w:p>
    <w:p>
      <w:pPr>
        <w:pStyle w:val="ListParagraph"/>
        <w:numPr>
          <w:ilvl w:val="0"/>
          <w:numId w:val="2"/>
        </w:numPr>
        <w:spacing w:after="60" w:before="60"/>
      </w:pPr>
      <w:r>
        <w:rPr>
          <w:rFonts w:ascii="Arial" w:cs="Arial" w:eastAsia="Arial" w:hAnsi="Arial"/>
          <w:sz w:val="22"/>
          <w:szCs w:val="22"/>
        </w:rPr>
        <w:t xml:space="preserve">Advanced analytics: VaR/CVaR, rolling Sharpe, cohort analysis, SIP continuity, sector HHI</w:t>
      </w:r>
    </w:p>
    <w:p>
      <w:pPr>
        <w:pStyle w:val="ListParagraph"/>
        <w:numPr>
          <w:ilvl w:val="0"/>
          <w:numId w:val="2"/>
        </w:numPr>
        <w:spacing w:after="60" w:before="60"/>
      </w:pPr>
      <w:r>
        <w:rPr>
          <w:rFonts w:ascii="Arial" w:cs="Arial" w:eastAsia="Arial" w:hAnsi="Arial"/>
          <w:sz w:val="22"/>
          <w:szCs w:val="22"/>
        </w:rPr>
        <w:t xml:space="preserve">4-page Power BI dashboard with slicers and drill-through</w:t>
      </w:r>
    </w:p>
    <w:p>
      <w:pPr>
        <w:spacing w:after="120" w:before="120"/>
      </w:pPr>
      <w:r>
        <w:t xml:space="preserve"/>
      </w:r>
    </w:p>
    <w:p>
      <w:pPr>
        <w:pStyle w:val="Heading1"/>
        <w:pBdr>
          <w:bottom w:val="single" w:color="2E75B6" w:sz="6" w:space="1"/>
        </w:pBdr>
        <w:spacing w:after="180" w:before="360"/>
      </w:pPr>
      <w:r>
        <w:rPr>
          <w:rFonts w:ascii="Arial" w:cs="Arial" w:eastAsia="Arial" w:hAnsi="Arial"/>
          <w:b/>
          <w:bCs/>
          <w:color w:val="1F3864"/>
          <w:sz w:val="32"/>
          <w:szCs w:val="32"/>
        </w:rPr>
        <w:t xml:space="preserve">2. Problem Statement</w:t>
      </w:r>
    </w:p>
    <w:p>
      <w:pPr>
        <w:spacing w:after="80" w:before="80"/>
        <w:jc w:val="left"/>
      </w:pPr>
      <w:r>
        <w:rPr>
          <w:rFonts w:ascii="Arial" w:cs="Arial" w:eastAsia="Arial" w:hAnsi="Arial"/>
          <w:sz w:val="22"/>
          <w:szCs w:val="22"/>
        </w:rPr>
        <w:t xml:space="preserve">The Indian mutual fund industry manages over Rs. 81 lakh crore in AUM across 1,908 schemes as of December 2025. Despite this scale, retail investors and financial advisors face significant challenges:</w:t>
      </w:r>
    </w:p>
    <w:p>
      <w:pPr>
        <w:spacing w:after="120" w:before="120"/>
      </w:pPr>
      <w:r>
        <w:t xml:space="preserve"/>
      </w:r>
    </w:p>
    <w:p>
      <w:pPr>
        <w:pStyle w:val="ListParagraph"/>
        <w:numPr>
          <w:ilvl w:val="0"/>
          <w:numId w:val="2"/>
        </w:numPr>
        <w:spacing w:after="60" w:before="60"/>
      </w:pPr>
      <w:r>
        <w:rPr>
          <w:rFonts w:ascii="Arial" w:cs="Arial" w:eastAsia="Arial" w:hAnsi="Arial"/>
          <w:sz w:val="22"/>
          <w:szCs w:val="22"/>
        </w:rPr>
        <w:t xml:space="preserve">Data fragmentation: NAV, AUM, SIP and portfolio data exist in separate formats across AMFI, NSE, and BSE</w:t>
      </w:r>
    </w:p>
    <w:p>
      <w:pPr>
        <w:pStyle w:val="ListParagraph"/>
        <w:numPr>
          <w:ilvl w:val="0"/>
          <w:numId w:val="2"/>
        </w:numPr>
        <w:spacing w:after="60" w:before="60"/>
      </w:pPr>
      <w:r>
        <w:rPr>
          <w:rFonts w:ascii="Arial" w:cs="Arial" w:eastAsia="Arial" w:hAnsi="Arial"/>
          <w:sz w:val="22"/>
          <w:szCs w:val="22"/>
        </w:rPr>
        <w:t xml:space="preserve">No unified risk-adjusted comparison tool across AMCs and fund categories</w:t>
      </w:r>
    </w:p>
    <w:p>
      <w:pPr>
        <w:pStyle w:val="ListParagraph"/>
        <w:numPr>
          <w:ilvl w:val="0"/>
          <w:numId w:val="2"/>
        </w:numPr>
        <w:spacing w:after="60" w:before="60"/>
      </w:pPr>
      <w:r>
        <w:rPr>
          <w:rFonts w:ascii="Arial" w:cs="Arial" w:eastAsia="Arial" w:hAnsi="Arial"/>
          <w:sz w:val="22"/>
          <w:szCs w:val="22"/>
        </w:rPr>
        <w:t xml:space="preserve">Benchmark tracking gap: most retail investors cannot determine if their fund beats its index</w:t>
      </w:r>
    </w:p>
    <w:p>
      <w:pPr>
        <w:pStyle w:val="ListParagraph"/>
        <w:numPr>
          <w:ilvl w:val="0"/>
          <w:numId w:val="2"/>
        </w:numPr>
        <w:spacing w:after="60" w:before="60"/>
      </w:pPr>
      <w:r>
        <w:rPr>
          <w:rFonts w:ascii="Arial" w:cs="Arial" w:eastAsia="Arial" w:hAnsi="Arial"/>
          <w:sz w:val="22"/>
          <w:szCs w:val="22"/>
        </w:rPr>
        <w:t xml:space="preserve">Investor behaviour blind spot: limited visibility into demographic and geographic SIP patterns</w:t>
      </w:r>
    </w:p>
    <w:p>
      <w:pPr>
        <w:pStyle w:val="ListParagraph"/>
        <w:numPr>
          <w:ilvl w:val="0"/>
          <w:numId w:val="2"/>
        </w:numPr>
        <w:spacing w:after="60" w:before="60"/>
      </w:pPr>
      <w:r>
        <w:rPr>
          <w:rFonts w:ascii="Arial" w:cs="Arial" w:eastAsia="Arial" w:hAnsi="Arial"/>
          <w:sz w:val="22"/>
          <w:szCs w:val="22"/>
        </w:rPr>
        <w:t xml:space="preserve">Slow reporting: monthly MF reports are static PDFs taking days to prepare</w:t>
      </w:r>
    </w:p>
    <w:p>
      <w:pPr>
        <w:spacing w:after="120" w:before="120"/>
      </w:pPr>
      <w:r>
        <w:t xml:space="preserve"/>
      </w:r>
    </w:p>
    <w:p>
      <w:pPr>
        <w:spacing w:after="80" w:before="80"/>
        <w:jc w:val="left"/>
      </w:pPr>
      <w:r>
        <w:rPr>
          <w:rFonts w:ascii="Arial" w:cs="Arial" w:eastAsia="Arial" w:hAnsi="Arial"/>
          <w:sz w:val="22"/>
          <w:szCs w:val="22"/>
        </w:rPr>
        <w:t xml:space="preserve">This platform solves all five problems with a single automated data pipeline and dashboard.</w:t>
      </w:r>
    </w:p>
    <w:p>
      <w:pPr>
        <w:spacing w:after="120" w:before="120"/>
      </w:pPr>
      <w:r>
        <w:t xml:space="preserve"/>
      </w:r>
    </w:p>
    <w:p>
      <w:pPr>
        <w:pStyle w:val="Heading1"/>
        <w:pBdr>
          <w:bottom w:val="single" w:color="2E75B6" w:sz="6" w:space="1"/>
        </w:pBdr>
        <w:spacing w:after="180" w:before="360"/>
      </w:pPr>
      <w:r>
        <w:rPr>
          <w:rFonts w:ascii="Arial" w:cs="Arial" w:eastAsia="Arial" w:hAnsi="Arial"/>
          <w:b/>
          <w:bCs/>
          <w:color w:val="1F3864"/>
          <w:sz w:val="32"/>
          <w:szCs w:val="32"/>
        </w:rPr>
        <w:t xml:space="preserve">3. Data Sources &amp; Datasets</w:t>
      </w:r>
    </w:p>
    <w:p>
      <w:pPr>
        <w:pStyle w:val="Heading2"/>
        <w:spacing w:after="120" w:before="240"/>
      </w:pPr>
      <w:r>
        <w:rPr>
          <w:rFonts w:ascii="Arial" w:cs="Arial" w:eastAsia="Arial" w:hAnsi="Arial"/>
          <w:b/>
          <w:bCs/>
          <w:color w:val="2E75B6"/>
          <w:sz w:val="26"/>
          <w:szCs w:val="26"/>
        </w:rPr>
        <w:t xml:space="preserve">3.1 Primary 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Data Type</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Update Frequency</w:t>
            </w:r>
          </w:p>
        </w:tc>
      </w:tr>
      <w:tr>
        <w:tc>
          <w:tcPr>
            <w:tcW w:type="dxa" w:w="312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20"/>
                <w:szCs w:val="20"/>
              </w:rPr>
              <w:t xml:space="preserve">AMFI India (amfiindia.com)</w:t>
            </w:r>
          </w:p>
        </w:tc>
        <w:tc>
          <w:tcPr>
            <w:tcW w:type="dxa" w:w="312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20"/>
                <w:szCs w:val="20"/>
              </w:rPr>
              <w:t xml:space="preserve">NAV, AUM, Folio, SIP data</w:t>
            </w:r>
          </w:p>
        </w:tc>
        <w:tc>
          <w:tcPr>
            <w:tcW w:type="dxa" w:w="312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20"/>
                <w:szCs w:val="20"/>
              </w:rPr>
              <w:t xml:space="preserve">Daily / Monthly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mfapi.in REST API</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Historical NAV (JSON, no auth)</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Daily</w:t>
            </w:r>
          </w:p>
        </w:tc>
      </w:tr>
      <w:tr>
        <w:tc>
          <w:tcPr>
            <w:tcW w:type="dxa" w:w="312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20"/>
                <w:szCs w:val="20"/>
              </w:rPr>
              <w:t xml:space="preserve">NSE India</w:t>
            </w:r>
          </w:p>
        </w:tc>
        <w:tc>
          <w:tcPr>
            <w:tcW w:type="dxa" w:w="312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20"/>
                <w:szCs w:val="20"/>
              </w:rPr>
              <w:t xml:space="preserve">Benchmark index prices</w:t>
            </w:r>
          </w:p>
        </w:tc>
        <w:tc>
          <w:tcPr>
            <w:tcW w:type="dxa" w:w="312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20"/>
                <w:szCs w:val="20"/>
              </w:rPr>
              <w:t xml:space="preserve">Daily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BSE India</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BSE SmallCap index</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Daily</w:t>
            </w:r>
          </w:p>
        </w:tc>
      </w:tr>
    </w:tbl>
    <w:p>
      <w:pPr>
        <w:spacing w:after="120" w:before="120"/>
      </w:pPr>
      <w:r>
        <w:t xml:space="preserve"/>
      </w:r>
    </w:p>
    <w:p>
      <w:pPr>
        <w:pStyle w:val="Heading2"/>
        <w:spacing w:after="120" w:before="240"/>
      </w:pPr>
      <w:r>
        <w:rPr>
          <w:rFonts w:ascii="Arial" w:cs="Arial" w:eastAsia="Arial" w:hAnsi="Arial"/>
          <w:b/>
          <w:bCs/>
          <w:color w:val="2E75B6"/>
          <w:sz w:val="26"/>
          <w:szCs w:val="26"/>
        </w:rPr>
        <w:t xml:space="preserve">3.2 Dataset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1560"/>
        <w:gridCol w:w="4680"/>
      </w:tblGrid>
      <w:tr>
        <w:trPr>
          <w:tblHeader/>
        </w:trPr>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1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Rows</w:t>
            </w:r>
          </w:p>
        </w:tc>
        <w:tc>
          <w:tcPr>
            <w:tcW w:type="dxa" w:w="4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12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20"/>
                <w:szCs w:val="20"/>
              </w:rPr>
              <w:t xml:space="preserve">01_fund_master.csv</w:t>
            </w:r>
          </w:p>
        </w:tc>
        <w:tc>
          <w:tcPr>
            <w:tcW w:type="dxa" w:w="156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20"/>
                <w:szCs w:val="20"/>
              </w:rPr>
              <w:t xml:space="preserve">40</w:t>
            </w:r>
          </w:p>
        </w:tc>
        <w:tc>
          <w:tcPr>
            <w:tcW w:type="dxa" w:w="468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20"/>
                <w:szCs w:val="20"/>
              </w:rPr>
              <w:t xml:space="preserve">40 fund schemes with AMFI codes, AMC, category, expense ratio</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02_nav_history.csv</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46,000</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Daily NAV Jan 2022 to May 2026 for all 40 schemes</w:t>
            </w:r>
          </w:p>
        </w:tc>
      </w:tr>
      <w:tr>
        <w:tc>
          <w:tcPr>
            <w:tcW w:type="dxa" w:w="312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20"/>
                <w:szCs w:val="20"/>
              </w:rPr>
              <w:t xml:space="preserve">03_aum_by_fund_house.csv</w:t>
            </w:r>
          </w:p>
        </w:tc>
        <w:tc>
          <w:tcPr>
            <w:tcW w:type="dxa" w:w="156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20"/>
                <w:szCs w:val="20"/>
              </w:rPr>
              <w:t xml:space="preserve">90</w:t>
            </w:r>
          </w:p>
        </w:tc>
        <w:tc>
          <w:tcPr>
            <w:tcW w:type="dxa" w:w="468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20"/>
                <w:szCs w:val="20"/>
              </w:rPr>
              <w:t xml:space="preserve">Quarterly AUM by fund house (lakh crore and crore)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04_monthly_sip_inflows.csv</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48</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Monthly SIP inflow, active accounts, new registrations</w:t>
            </w:r>
          </w:p>
        </w:tc>
      </w:tr>
      <w:tr>
        <w:tc>
          <w:tcPr>
            <w:tcW w:type="dxa" w:w="312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20"/>
                <w:szCs w:val="20"/>
              </w:rPr>
              <w:t xml:space="preserve">05_category_inflows.csv</w:t>
            </w:r>
          </w:p>
        </w:tc>
        <w:tc>
          <w:tcPr>
            <w:tcW w:type="dxa" w:w="156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20"/>
                <w:szCs w:val="20"/>
              </w:rPr>
              <w:t xml:space="preserve">144</w:t>
            </w:r>
          </w:p>
        </w:tc>
        <w:tc>
          <w:tcPr>
            <w:tcW w:type="dxa" w:w="468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20"/>
                <w:szCs w:val="20"/>
              </w:rPr>
              <w:t xml:space="preserve">Net inflows by fund category (Large Cap, Mid Cap etc.)</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06_industry_folio_count.csv</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21</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Industry folio count milestones 2022-2025</w:t>
            </w:r>
          </w:p>
        </w:tc>
      </w:tr>
      <w:tr>
        <w:tc>
          <w:tcPr>
            <w:tcW w:type="dxa" w:w="312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20"/>
                <w:szCs w:val="20"/>
              </w:rPr>
              <w:t xml:space="preserve">07_scheme_performance.csv</w:t>
            </w:r>
          </w:p>
        </w:tc>
        <w:tc>
          <w:tcPr>
            <w:tcW w:type="dxa" w:w="156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20"/>
                <w:szCs w:val="20"/>
              </w:rPr>
              <w:t xml:space="preserve">40</w:t>
            </w:r>
          </w:p>
        </w:tc>
        <w:tc>
          <w:tcPr>
            <w:tcW w:type="dxa" w:w="468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20"/>
                <w:szCs w:val="20"/>
              </w:rPr>
              <w:t xml:space="preserve">Pre-computed risk-return metrics per scheme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08_investor_transactions.csv</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32,778</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SIP, Lumpsum, Redemption transactions for 5,000 investors</w:t>
            </w:r>
          </w:p>
        </w:tc>
      </w:tr>
      <w:tr>
        <w:tc>
          <w:tcPr>
            <w:tcW w:type="dxa" w:w="312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20"/>
                <w:szCs w:val="20"/>
              </w:rPr>
              <w:t xml:space="preserve">09_portfolio_holdings.csv</w:t>
            </w:r>
          </w:p>
        </w:tc>
        <w:tc>
          <w:tcPr>
            <w:tcW w:type="dxa" w:w="156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20"/>
                <w:szCs w:val="20"/>
              </w:rPr>
              <w:t xml:space="preserve">322</w:t>
            </w:r>
          </w:p>
        </w:tc>
        <w:tc>
          <w:tcPr>
            <w:tcW w:type="dxa" w:w="468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20"/>
                <w:szCs w:val="20"/>
              </w:rPr>
              <w:t xml:space="preserve">Top equity holdings per fund as of Dec 2025</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10_benchmark_indices.csv</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8,050</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Daily values of Nifty 50, Nifty 100, BSE SmallCap etc.</w:t>
            </w:r>
          </w:p>
        </w:tc>
      </w:tr>
    </w:tbl>
    <w:p>
      <w:pPr>
        <w:spacing w:after="120" w:before="120"/>
      </w:pPr>
      <w:r>
        <w:t xml:space="preserve"/>
      </w:r>
    </w:p>
    <w:p>
      <w:pPr>
        <w:pStyle w:val="Heading1"/>
        <w:pBdr>
          <w:bottom w:val="single" w:color="2E75B6" w:sz="6" w:space="1"/>
        </w:pBdr>
        <w:spacing w:after="180" w:before="360"/>
      </w:pPr>
      <w:r>
        <w:rPr>
          <w:rFonts w:ascii="Arial" w:cs="Arial" w:eastAsia="Arial" w:hAnsi="Arial"/>
          <w:b/>
          <w:bCs/>
          <w:color w:val="1F3864"/>
          <w:sz w:val="32"/>
          <w:szCs w:val="32"/>
        </w:rPr>
        <w:t xml:space="preserve">4. ETL Pipeline &amp; Architecture</w:t>
      </w:r>
    </w:p>
    <w:p>
      <w:pPr>
        <w:pStyle w:val="Heading2"/>
        <w:spacing w:after="120" w:before="240"/>
      </w:pPr>
      <w:r>
        <w:rPr>
          <w:rFonts w:ascii="Arial" w:cs="Arial" w:eastAsia="Arial" w:hAnsi="Arial"/>
          <w:b/>
          <w:bCs/>
          <w:color w:val="2E75B6"/>
          <w:sz w:val="26"/>
          <w:szCs w:val="26"/>
        </w:rPr>
        <w:t xml:space="preserve">4.1 Pipeline Design</w:t>
      </w:r>
    </w:p>
    <w:p>
      <w:pPr>
        <w:spacing w:after="80" w:before="80"/>
        <w:jc w:val="left"/>
      </w:pPr>
      <w:r>
        <w:rPr>
          <w:rFonts w:ascii="Arial" w:cs="Arial" w:eastAsia="Arial" w:hAnsi="Arial"/>
          <w:sz w:val="22"/>
          <w:szCs w:val="22"/>
        </w:rPr>
        <w:t xml:space="preserve">The platform follows a classic 5-layer data engineering architecture mirroring real-world fintech pipelines at companies like Zerodha and Groww:</w:t>
      </w:r>
    </w:p>
    <w:p>
      <w:pPr>
        <w:spacing w:after="120" w:before="120"/>
      </w:pPr>
      <w:r>
        <w:t xml:space="preserve"/>
      </w:r>
    </w:p>
    <w:p>
      <w:pPr>
        <w:pStyle w:val="ListParagraph"/>
        <w:numPr>
          <w:ilvl w:val="0"/>
          <w:numId w:val="2"/>
        </w:numPr>
        <w:spacing w:after="60" w:before="60"/>
      </w:pPr>
      <w:r>
        <w:rPr>
          <w:rFonts w:ascii="Arial" w:cs="Arial" w:eastAsia="Arial" w:hAnsi="Arial"/>
          <w:sz w:val="22"/>
          <w:szCs w:val="22"/>
        </w:rPr>
        <w:t xml:space="preserve">Layer 1 - Extract: Load 10 CSV datasets + fetch live NAV from mfapi.in API</w:t>
      </w:r>
    </w:p>
    <w:p>
      <w:pPr>
        <w:pStyle w:val="ListParagraph"/>
        <w:numPr>
          <w:ilvl w:val="0"/>
          <w:numId w:val="2"/>
        </w:numPr>
        <w:spacing w:after="60" w:before="60"/>
      </w:pPr>
      <w:r>
        <w:rPr>
          <w:rFonts w:ascii="Arial" w:cs="Arial" w:eastAsia="Arial" w:hAnsi="Arial"/>
          <w:sz w:val="22"/>
          <w:szCs w:val="22"/>
        </w:rPr>
        <w:t xml:space="preserve">Layer 2 - Transform: Parse dates, forward-fill missing NAVs, remove duplicates, standardise text</w:t>
      </w:r>
    </w:p>
    <w:p>
      <w:pPr>
        <w:pStyle w:val="ListParagraph"/>
        <w:numPr>
          <w:ilvl w:val="0"/>
          <w:numId w:val="2"/>
        </w:numPr>
        <w:spacing w:after="60" w:before="60"/>
      </w:pPr>
      <w:r>
        <w:rPr>
          <w:rFonts w:ascii="Arial" w:cs="Arial" w:eastAsia="Arial" w:hAnsi="Arial"/>
          <w:sz w:val="22"/>
          <w:szCs w:val="22"/>
        </w:rPr>
        <w:t xml:space="preserve">Layer 3 - Load: Store cleaned data in SQLite via SQLAlchemy with indexed star schema</w:t>
      </w:r>
    </w:p>
    <w:p>
      <w:pPr>
        <w:pStyle w:val="ListParagraph"/>
        <w:numPr>
          <w:ilvl w:val="0"/>
          <w:numId w:val="2"/>
        </w:numPr>
        <w:spacing w:after="60" w:before="60"/>
      </w:pPr>
      <w:r>
        <w:rPr>
          <w:rFonts w:ascii="Arial" w:cs="Arial" w:eastAsia="Arial" w:hAnsi="Arial"/>
          <w:sz w:val="22"/>
          <w:szCs w:val="22"/>
        </w:rPr>
        <w:t xml:space="preserve">Layer 4 - Analyse: Compute risk metrics, run EDA, generate performance scorecard</w:t>
      </w:r>
    </w:p>
    <w:p>
      <w:pPr>
        <w:pStyle w:val="ListParagraph"/>
        <w:numPr>
          <w:ilvl w:val="0"/>
          <w:numId w:val="2"/>
        </w:numPr>
        <w:spacing w:after="60" w:before="60"/>
      </w:pPr>
      <w:r>
        <w:rPr>
          <w:rFonts w:ascii="Arial" w:cs="Arial" w:eastAsia="Arial" w:hAnsi="Arial"/>
          <w:sz w:val="22"/>
          <w:szCs w:val="22"/>
        </w:rPr>
        <w:t xml:space="preserve">Layer 5 - Visualise: 4-page Power BI dashboard with interactive slicers</w:t>
      </w:r>
    </w:p>
    <w:p>
      <w:pPr>
        <w:spacing w:after="120" w:before="120"/>
      </w:pPr>
      <w:r>
        <w:t xml:space="preserve"/>
      </w:r>
    </w:p>
    <w:p>
      <w:pPr>
        <w:pStyle w:val="Heading2"/>
        <w:spacing w:after="120" w:before="240"/>
      </w:pPr>
      <w:r>
        <w:rPr>
          <w:rFonts w:ascii="Arial" w:cs="Arial" w:eastAsia="Arial" w:hAnsi="Arial"/>
          <w:b/>
          <w:bCs/>
          <w:color w:val="2E75B6"/>
          <w:sz w:val="26"/>
          <w:szCs w:val="26"/>
        </w:rPr>
        <w:t xml:space="preserve">4.2 Database Schema (Star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560"/>
        <w:gridCol w:w="3900"/>
        <w:gridCol w:w="1560"/>
      </w:tblGrid>
      <w:tr>
        <w:trPr>
          <w:tblHeader/>
        </w:trPr>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Table</w:t>
            </w:r>
          </w:p>
        </w:tc>
        <w:tc>
          <w:tcPr>
            <w:tcW w:type="dxa" w:w="1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3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Key Columns</w:t>
            </w:r>
          </w:p>
        </w:tc>
        <w:tc>
          <w:tcPr>
            <w:tcW w:type="dxa" w:w="1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Rows</w:t>
            </w:r>
          </w:p>
        </w:tc>
      </w:tr>
      <w:tr>
        <w:tc>
          <w:tcPr>
            <w:tcW w:type="dxa" w:w="234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20"/>
                <w:szCs w:val="20"/>
              </w:rPr>
              <w:t xml:space="preserve">dim_fund</w:t>
            </w:r>
          </w:p>
        </w:tc>
        <w:tc>
          <w:tcPr>
            <w:tcW w:type="dxa" w:w="156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20"/>
                <w:szCs w:val="20"/>
              </w:rPr>
              <w:t xml:space="preserve">Dimension</w:t>
            </w:r>
          </w:p>
        </w:tc>
        <w:tc>
          <w:tcPr>
            <w:tcW w:type="dxa" w:w="39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20"/>
                <w:szCs w:val="20"/>
              </w:rPr>
              <w:t xml:space="preserve">amfi_code (PK), fund_house, category, expense_ratio</w:t>
            </w:r>
          </w:p>
        </w:tc>
        <w:tc>
          <w:tcPr>
            <w:tcW w:type="dxa" w:w="156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20"/>
                <w:szCs w:val="20"/>
              </w:rPr>
              <w:t xml:space="preserve">40</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dim_date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Dimension</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date_id (PK), date, year, month, quarter, is_weekday</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1,150</w:t>
            </w:r>
          </w:p>
        </w:tc>
      </w:tr>
      <w:tr>
        <w:tc>
          <w:tcPr>
            <w:tcW w:type="dxa" w:w="234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20"/>
                <w:szCs w:val="20"/>
              </w:rPr>
              <w:t xml:space="preserve">fact_nav</w:t>
            </w:r>
          </w:p>
        </w:tc>
        <w:tc>
          <w:tcPr>
            <w:tcW w:type="dxa" w:w="156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20"/>
                <w:szCs w:val="20"/>
              </w:rPr>
              <w:t xml:space="preserve">Fact</w:t>
            </w:r>
          </w:p>
        </w:tc>
        <w:tc>
          <w:tcPr>
            <w:tcW w:type="dxa" w:w="39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20"/>
                <w:szCs w:val="20"/>
              </w:rPr>
              <w:t xml:space="preserve">amfi_code (FK), date (FK), nav, daily_return</w:t>
            </w:r>
          </w:p>
        </w:tc>
        <w:tc>
          <w:tcPr>
            <w:tcW w:type="dxa" w:w="156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20"/>
                <w:szCs w:val="20"/>
              </w:rPr>
              <w:t xml:space="preserve">46,000</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fact_transactions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Fact</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tx_id (PK), investor_id, amfi_code (FK), amount_inr</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32,778</w:t>
            </w:r>
          </w:p>
        </w:tc>
      </w:tr>
      <w:tr>
        <w:tc>
          <w:tcPr>
            <w:tcW w:type="dxa" w:w="234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20"/>
                <w:szCs w:val="20"/>
              </w:rPr>
              <w:t xml:space="preserve">fact_performance</w:t>
            </w:r>
          </w:p>
        </w:tc>
        <w:tc>
          <w:tcPr>
            <w:tcW w:type="dxa" w:w="156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20"/>
                <w:szCs w:val="20"/>
              </w:rPr>
              <w:t xml:space="preserve">Fact</w:t>
            </w:r>
          </w:p>
        </w:tc>
        <w:tc>
          <w:tcPr>
            <w:tcW w:type="dxa" w:w="39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20"/>
                <w:szCs w:val="20"/>
              </w:rPr>
              <w:t xml:space="preserve">amfi_code (FK), sharpe, alpha, beta, max_drawdown</w:t>
            </w:r>
          </w:p>
        </w:tc>
        <w:tc>
          <w:tcPr>
            <w:tcW w:type="dxa" w:w="156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20"/>
                <w:szCs w:val="20"/>
              </w:rPr>
              <w:t xml:space="preserve">40</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fact_portfolio</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Fact</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amfi_code (FK), stock_symbol, weight_pct, sector</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322</w:t>
            </w:r>
          </w:p>
        </w:tc>
      </w:tr>
      <w:tr>
        <w:tc>
          <w:tcPr>
            <w:tcW w:type="dxa" w:w="234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20"/>
                <w:szCs w:val="20"/>
              </w:rPr>
              <w:t xml:space="preserve">fact_aum</w:t>
            </w:r>
          </w:p>
        </w:tc>
        <w:tc>
          <w:tcPr>
            <w:tcW w:type="dxa" w:w="156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20"/>
                <w:szCs w:val="20"/>
              </w:rPr>
              <w:t xml:space="preserve">Fact</w:t>
            </w:r>
          </w:p>
        </w:tc>
        <w:tc>
          <w:tcPr>
            <w:tcW w:type="dxa" w:w="39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20"/>
                <w:szCs w:val="20"/>
              </w:rPr>
              <w:t xml:space="preserve">fund_house, date, aum_lakh_crore, aum_crore</w:t>
            </w:r>
          </w:p>
        </w:tc>
        <w:tc>
          <w:tcPr>
            <w:tcW w:type="dxa" w:w="156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20"/>
                <w:szCs w:val="20"/>
              </w:rPr>
              <w:t xml:space="preserve">90</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fact_sip_industry</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Fact</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month, sip_inflow_crore, active_sip_accounts_crore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48</w:t>
            </w:r>
          </w:p>
        </w:tc>
      </w:tr>
    </w:tbl>
    <w:p>
      <w:pPr>
        <w:spacing w:after="120" w:before="120"/>
      </w:pPr>
      <w:r>
        <w:t xml:space="preserve"/>
      </w:r>
    </w:p>
    <w:p>
      <w:pPr>
        <w:pStyle w:val="Heading1"/>
        <w:pBdr>
          <w:bottom w:val="single" w:color="2E75B6" w:sz="6" w:space="1"/>
        </w:pBdr>
        <w:spacing w:after="180" w:before="360"/>
      </w:pPr>
      <w:r>
        <w:rPr>
          <w:rFonts w:ascii="Arial" w:cs="Arial" w:eastAsia="Arial" w:hAnsi="Arial"/>
          <w:b/>
          <w:bCs/>
          <w:color w:val="1F3864"/>
          <w:sz w:val="32"/>
          <w:szCs w:val="32"/>
        </w:rPr>
        <w:t xml:space="preserve">5. Exploratory Data Analysis</w:t>
      </w:r>
    </w:p>
    <w:p>
      <w:pPr>
        <w:pStyle w:val="Heading2"/>
        <w:spacing w:after="120" w:before="240"/>
      </w:pPr>
      <w:r>
        <w:rPr>
          <w:rFonts w:ascii="Arial" w:cs="Arial" w:eastAsia="Arial" w:hAnsi="Arial"/>
          <w:b/>
          <w:bCs/>
          <w:color w:val="2E75B6"/>
          <w:sz w:val="26"/>
          <w:szCs w:val="26"/>
        </w:rPr>
        <w:t xml:space="preserve">5.1 Key Findings</w:t>
      </w:r>
    </w:p>
    <w:p>
      <w:pPr>
        <w:pStyle w:val="ListParagraph"/>
        <w:numPr>
          <w:ilvl w:val="0"/>
          <w:numId w:val="2"/>
        </w:numPr>
        <w:spacing w:after="60" w:before="60"/>
      </w:pPr>
      <w:r>
        <w:rPr>
          <w:rFonts w:ascii="Arial" w:cs="Arial" w:eastAsia="Arial" w:hAnsi="Arial"/>
          <w:sz w:val="22"/>
          <w:szCs w:val="22"/>
        </w:rPr>
        <w:t xml:space="preserve">NAV Trends: All large cap funds trended upward 2022-2026 with visible 2022 correction and 2023-24 bull run</w:t>
      </w:r>
    </w:p>
    <w:p>
      <w:pPr>
        <w:pStyle w:val="ListParagraph"/>
        <w:numPr>
          <w:ilvl w:val="0"/>
          <w:numId w:val="2"/>
        </w:numPr>
        <w:spacing w:after="60" w:before="60"/>
      </w:pPr>
      <w:r>
        <w:rPr>
          <w:rFonts w:ascii="Arial" w:cs="Arial" w:eastAsia="Arial" w:hAnsi="Arial"/>
          <w:sz w:val="22"/>
          <w:szCs w:val="22"/>
        </w:rPr>
        <w:t xml:space="preserve">AUM Dominance: SBI MF leads at Rs.12.5 lakh crore (Dec 2025), up from Rs.6 lakh crore in 2022 — a 2x growth</w:t>
      </w:r>
    </w:p>
    <w:p>
      <w:pPr>
        <w:pStyle w:val="ListParagraph"/>
        <w:numPr>
          <w:ilvl w:val="0"/>
          <w:numId w:val="2"/>
        </w:numPr>
        <w:spacing w:after="60" w:before="60"/>
      </w:pPr>
      <w:r>
        <w:rPr>
          <w:rFonts w:ascii="Arial" w:cs="Arial" w:eastAsia="Arial" w:hAnsi="Arial"/>
          <w:sz w:val="22"/>
          <w:szCs w:val="22"/>
        </w:rPr>
        <w:t xml:space="preserve">SIP Milestone: Monthly SIP inflows reached Rs.31,002 crore (Dec 2025) — 2.7x growth from Rs.11,517 crore (Jan 2022)</w:t>
      </w:r>
    </w:p>
    <w:p>
      <w:pPr>
        <w:pStyle w:val="ListParagraph"/>
        <w:numPr>
          <w:ilvl w:val="0"/>
          <w:numId w:val="2"/>
        </w:numPr>
        <w:spacing w:after="60" w:before="60"/>
      </w:pPr>
      <w:r>
        <w:rPr>
          <w:rFonts w:ascii="Arial" w:cs="Arial" w:eastAsia="Arial" w:hAnsi="Arial"/>
          <w:sz w:val="22"/>
          <w:szCs w:val="22"/>
        </w:rPr>
        <w:t xml:space="preserve">Folio Growth: Total investor accounts doubled from 13.26 crore (Jan 2022) to 26.12 crore (Dec 2025)</w:t>
      </w:r>
    </w:p>
    <w:p>
      <w:pPr>
        <w:pStyle w:val="ListParagraph"/>
        <w:numPr>
          <w:ilvl w:val="0"/>
          <w:numId w:val="2"/>
        </w:numPr>
        <w:spacing w:after="60" w:before="60"/>
      </w:pPr>
      <w:r>
        <w:rPr>
          <w:rFonts w:ascii="Arial" w:cs="Arial" w:eastAsia="Arial" w:hAnsi="Arial"/>
          <w:sz w:val="22"/>
          <w:szCs w:val="22"/>
        </w:rPr>
        <w:t xml:space="preserve">Demographics: 26-35 age group dominates SIP participation; 56+ investors invest 3x more per SIP</w:t>
      </w:r>
    </w:p>
    <w:p>
      <w:pPr>
        <w:pStyle w:val="ListParagraph"/>
        <w:numPr>
          <w:ilvl w:val="0"/>
          <w:numId w:val="2"/>
        </w:numPr>
        <w:spacing w:after="60" w:before="60"/>
      </w:pPr>
      <w:r>
        <w:rPr>
          <w:rFonts w:ascii="Arial" w:cs="Arial" w:eastAsia="Arial" w:hAnsi="Arial"/>
          <w:sz w:val="22"/>
          <w:szCs w:val="22"/>
        </w:rPr>
        <w:t xml:space="preserve">Geography: Maharashtra and Karnataka lead SIP amounts; T30 cities contribute 68% vs B30 at 32%</w:t>
      </w:r>
    </w:p>
    <w:p>
      <w:pPr>
        <w:pStyle w:val="ListParagraph"/>
        <w:numPr>
          <w:ilvl w:val="0"/>
          <w:numId w:val="2"/>
        </w:numPr>
        <w:spacing w:after="60" w:before="60"/>
      </w:pPr>
      <w:r>
        <w:rPr>
          <w:rFonts w:ascii="Arial" w:cs="Arial" w:eastAsia="Arial" w:hAnsi="Arial"/>
          <w:sz w:val="22"/>
          <w:szCs w:val="22"/>
        </w:rPr>
        <w:t xml:space="preserve">Correlation: Large cap funds show 0.85+ pairwise correlation — holding multiple large caps does not diversify risk</w:t>
      </w:r>
    </w:p>
    <w:p>
      <w:pPr>
        <w:pStyle w:val="ListParagraph"/>
        <w:numPr>
          <w:ilvl w:val="0"/>
          <w:numId w:val="2"/>
        </w:numPr>
        <w:spacing w:after="60" w:before="60"/>
      </w:pPr>
      <w:r>
        <w:rPr>
          <w:rFonts w:ascii="Arial" w:cs="Arial" w:eastAsia="Arial" w:hAnsi="Arial"/>
          <w:sz w:val="22"/>
          <w:szCs w:val="22"/>
        </w:rPr>
        <w:t xml:space="preserve">Sector Allocation: Banking is the dominant sector across all equity portfolios, followed by IT and Pharma</w:t>
      </w:r>
    </w:p>
    <w:p>
      <w:pPr>
        <w:pStyle w:val="ListParagraph"/>
        <w:numPr>
          <w:ilvl w:val="0"/>
          <w:numId w:val="2"/>
        </w:numPr>
        <w:spacing w:after="60" w:before="60"/>
      </w:pPr>
      <w:r>
        <w:rPr>
          <w:rFonts w:ascii="Arial" w:cs="Arial" w:eastAsia="Arial" w:hAnsi="Arial"/>
          <w:sz w:val="22"/>
          <w:szCs w:val="22"/>
        </w:rPr>
        <w:t xml:space="preserve">Category Inflows: Mid Cap and Small Cap saw highest net inflows in FY25 — growing risk appetite</w:t>
      </w:r>
    </w:p>
    <w:p>
      <w:pPr>
        <w:pStyle w:val="ListParagraph"/>
        <w:numPr>
          <w:ilvl w:val="0"/>
          <w:numId w:val="2"/>
        </w:numPr>
        <w:spacing w:after="60" w:before="60"/>
      </w:pPr>
      <w:r>
        <w:rPr>
          <w:rFonts w:ascii="Arial" w:cs="Arial" w:eastAsia="Arial" w:hAnsi="Arial"/>
          <w:sz w:val="22"/>
          <w:szCs w:val="22"/>
        </w:rPr>
        <w:t xml:space="preserve">Expense Ratio: No strong negative correlation between expense ratio and Sharpe ratio in this dataset</w:t>
      </w:r>
    </w:p>
    <w:p>
      <w:pPr>
        <w:spacing w:after="120" w:before="120"/>
      </w:pPr>
      <w:r>
        <w:t xml:space="preserve"/>
      </w:r>
    </w:p>
    <w:p>
      <w:pPr>
        <w:pStyle w:val="Heading1"/>
        <w:pBdr>
          <w:bottom w:val="single" w:color="2E75B6" w:sz="6" w:space="1"/>
        </w:pBdr>
        <w:spacing w:after="180" w:before="360"/>
      </w:pPr>
      <w:r>
        <w:rPr>
          <w:rFonts w:ascii="Arial" w:cs="Arial" w:eastAsia="Arial" w:hAnsi="Arial"/>
          <w:b/>
          <w:bCs/>
          <w:color w:val="1F3864"/>
          <w:sz w:val="32"/>
          <w:szCs w:val="32"/>
        </w:rPr>
        <w:t xml:space="preserve">6. Fund Performance Analytics</w:t>
      </w:r>
    </w:p>
    <w:p>
      <w:pPr>
        <w:pStyle w:val="Heading2"/>
        <w:spacing w:after="120" w:before="240"/>
      </w:pPr>
      <w:r>
        <w:rPr>
          <w:rFonts w:ascii="Arial" w:cs="Arial" w:eastAsia="Arial" w:hAnsi="Arial"/>
          <w:b/>
          <w:bCs/>
          <w:color w:val="2E75B6"/>
          <w:sz w:val="26"/>
          <w:szCs w:val="26"/>
        </w:rPr>
        <w:t xml:space="preserve">6.1 Methodology</w:t>
      </w:r>
    </w:p>
    <w:p>
      <w:pPr>
        <w:pStyle w:val="ListParagraph"/>
        <w:numPr>
          <w:ilvl w:val="0"/>
          <w:numId w:val="2"/>
        </w:numPr>
        <w:spacing w:after="60" w:before="60"/>
      </w:pPr>
      <w:r>
        <w:rPr>
          <w:rFonts w:ascii="Arial" w:cs="Arial" w:eastAsia="Arial" w:hAnsi="Arial"/>
          <w:sz w:val="22"/>
          <w:szCs w:val="22"/>
        </w:rPr>
        <w:t xml:space="preserve">Daily Returns: daily_return = (NAV_t / NAV_t-1) - 1</w:t>
      </w:r>
    </w:p>
    <w:p>
      <w:pPr>
        <w:pStyle w:val="ListParagraph"/>
        <w:numPr>
          <w:ilvl w:val="0"/>
          <w:numId w:val="2"/>
        </w:numPr>
        <w:spacing w:after="60" w:before="60"/>
      </w:pPr>
      <w:r>
        <w:rPr>
          <w:rFonts w:ascii="Arial" w:cs="Arial" w:eastAsia="Arial" w:hAnsi="Arial"/>
          <w:sz w:val="22"/>
          <w:szCs w:val="22"/>
        </w:rPr>
        <w:t xml:space="preserve">CAGR: (NAV_end / NAV_start)^(252/n_trading_days) - 1 for 1yr, 3yr, 5yr periods</w:t>
      </w:r>
    </w:p>
    <w:p>
      <w:pPr>
        <w:pStyle w:val="ListParagraph"/>
        <w:numPr>
          <w:ilvl w:val="0"/>
          <w:numId w:val="2"/>
        </w:numPr>
        <w:spacing w:after="60" w:before="60"/>
      </w:pPr>
      <w:r>
        <w:rPr>
          <w:rFonts w:ascii="Arial" w:cs="Arial" w:eastAsia="Arial" w:hAnsi="Arial"/>
          <w:sz w:val="22"/>
          <w:szCs w:val="22"/>
        </w:rPr>
        <w:t xml:space="preserve">Sharpe Ratio: (Rp - Rf) / Std(Rp) * sqrt(252) using Rf = 6.5% (RBI repo rate proxy)</w:t>
      </w:r>
    </w:p>
    <w:p>
      <w:pPr>
        <w:pStyle w:val="ListParagraph"/>
        <w:numPr>
          <w:ilvl w:val="0"/>
          <w:numId w:val="2"/>
        </w:numPr>
        <w:spacing w:after="60" w:before="60"/>
      </w:pPr>
      <w:r>
        <w:rPr>
          <w:rFonts w:ascii="Arial" w:cs="Arial" w:eastAsia="Arial" w:hAnsi="Arial"/>
          <w:sz w:val="22"/>
          <w:szCs w:val="22"/>
        </w:rPr>
        <w:t xml:space="preserve">Sortino Ratio: Same as Sharpe but denominator uses only downside standard deviation</w:t>
      </w:r>
    </w:p>
    <w:p>
      <w:pPr>
        <w:pStyle w:val="ListParagraph"/>
        <w:numPr>
          <w:ilvl w:val="0"/>
          <w:numId w:val="2"/>
        </w:numPr>
        <w:spacing w:after="60" w:before="60"/>
      </w:pPr>
      <w:r>
        <w:rPr>
          <w:rFonts w:ascii="Arial" w:cs="Arial" w:eastAsia="Arial" w:hAnsi="Arial"/>
          <w:sz w:val="22"/>
          <w:szCs w:val="22"/>
        </w:rPr>
        <w:t xml:space="preserve">Alpha &amp; Beta: OLS regression of fund returns on Nifty 100 returns via scipy.stats.linregress</w:t>
      </w:r>
    </w:p>
    <w:p>
      <w:pPr>
        <w:pStyle w:val="ListParagraph"/>
        <w:numPr>
          <w:ilvl w:val="0"/>
          <w:numId w:val="2"/>
        </w:numPr>
        <w:spacing w:after="60" w:before="60"/>
      </w:pPr>
      <w:r>
        <w:rPr>
          <w:rFonts w:ascii="Arial" w:cs="Arial" w:eastAsia="Arial" w:hAnsi="Arial"/>
          <w:sz w:val="22"/>
          <w:szCs w:val="22"/>
        </w:rPr>
        <w:t xml:space="preserve">Max Drawdown: min(NAV / running_max - 1) per fund</w:t>
      </w:r>
    </w:p>
    <w:p>
      <w:pPr>
        <w:pStyle w:val="ListParagraph"/>
        <w:numPr>
          <w:ilvl w:val="0"/>
          <w:numId w:val="2"/>
        </w:numPr>
        <w:spacing w:after="60" w:before="60"/>
      </w:pPr>
      <w:r>
        <w:rPr>
          <w:rFonts w:ascii="Arial" w:cs="Arial" w:eastAsia="Arial" w:hAnsi="Arial"/>
          <w:sz w:val="22"/>
          <w:szCs w:val="22"/>
        </w:rPr>
        <w:t xml:space="preserve">Fund Scorecard: 30% CAGR + 25% Sharpe + 20% Alpha + 15% Expense (inv) + 10% Drawdown (inv)</w:t>
      </w:r>
    </w:p>
    <w:p>
      <w:pPr>
        <w:spacing w:after="120" w:before="120"/>
      </w:pPr>
      <w:r>
        <w:t xml:space="preserve"/>
      </w:r>
    </w:p>
    <w:p>
      <w:pPr>
        <w:pStyle w:val="Heading2"/>
        <w:spacing w:after="120" w:before="240"/>
      </w:pPr>
      <w:r>
        <w:rPr>
          <w:rFonts w:ascii="Arial" w:cs="Arial" w:eastAsia="Arial" w:hAnsi="Arial"/>
          <w:b/>
          <w:bCs/>
          <w:color w:val="2E75B6"/>
          <w:sz w:val="26"/>
          <w:szCs w:val="26"/>
        </w:rPr>
        <w:t xml:space="preserve">6.2 Top 10 Funds by Scorecard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
        <w:gridCol w:w="2340"/>
        <w:gridCol w:w="1404"/>
        <w:gridCol w:w="1404"/>
        <w:gridCol w:w="936"/>
        <w:gridCol w:w="1404"/>
        <w:gridCol w:w="936"/>
      </w:tblGrid>
      <w:tr>
        <w:trPr>
          <w:tblHeader/>
        </w:trPr>
        <w:tc>
          <w:tcPr>
            <w:tcW w:type="dxa" w:w="93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Rank</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Fund House</w:t>
            </w:r>
          </w:p>
        </w:tc>
        <w:tc>
          <w:tcPr>
            <w:tcW w:type="dxa" w:w="1404"/>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1404"/>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3yr CAGR</w:t>
            </w:r>
          </w:p>
        </w:tc>
        <w:tc>
          <w:tcPr>
            <w:tcW w:type="dxa" w:w="93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Sharpe</w:t>
            </w:r>
          </w:p>
        </w:tc>
        <w:tc>
          <w:tcPr>
            <w:tcW w:type="dxa" w:w="1404"/>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Alpha</w:t>
            </w:r>
          </w:p>
        </w:tc>
        <w:tc>
          <w:tcPr>
            <w:tcW w:type="dxa" w:w="93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Score</w:t>
            </w:r>
          </w:p>
        </w:tc>
      </w:tr>
      <w:tr>
        <w:tc>
          <w:tcPr>
            <w:tcW w:type="dxa" w:w="936"/>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20"/>
                <w:szCs w:val="20"/>
              </w:rPr>
              <w:t xml:space="preserve">1</w:t>
            </w:r>
          </w:p>
        </w:tc>
        <w:tc>
          <w:tcPr>
            <w:tcW w:type="dxa" w:w="234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20"/>
                <w:szCs w:val="20"/>
              </w:rPr>
              <w:t xml:space="preserve">ICICI Prudential MF</w:t>
            </w:r>
          </w:p>
        </w:tc>
        <w:tc>
          <w:tcPr>
            <w:tcW w:type="dxa" w:w="1404"/>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20"/>
                <w:szCs w:val="20"/>
              </w:rPr>
              <w:t xml:space="preserve">Mid Cap</w:t>
            </w:r>
          </w:p>
        </w:tc>
        <w:tc>
          <w:tcPr>
            <w:tcW w:type="dxa" w:w="1404"/>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20"/>
                <w:szCs w:val="20"/>
              </w:rPr>
              <w:t xml:space="preserve">30.44%</w:t>
            </w:r>
          </w:p>
        </w:tc>
        <w:tc>
          <w:tcPr>
            <w:tcW w:type="dxa" w:w="936"/>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20"/>
                <w:szCs w:val="20"/>
              </w:rPr>
              <w:t xml:space="preserve">1.18</w:t>
            </w:r>
          </w:p>
        </w:tc>
        <w:tc>
          <w:tcPr>
            <w:tcW w:type="dxa" w:w="1404"/>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20"/>
                <w:szCs w:val="20"/>
              </w:rPr>
              <w:t xml:space="preserve">29.26%</w:t>
            </w:r>
          </w:p>
        </w:tc>
        <w:tc>
          <w:tcPr>
            <w:tcW w:type="dxa" w:w="936"/>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20"/>
                <w:szCs w:val="20"/>
              </w:rPr>
              <w:t xml:space="preserve">84.5</w:t>
            </w:r>
          </w:p>
        </w:tc>
      </w:tr>
      <w:tr>
        <w:tc>
          <w:tcPr>
            <w:tcW w:type="dxa" w:w="9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Axis Mutual Fund</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Mid Cap</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33.62%</w:t>
            </w:r>
          </w:p>
        </w:tc>
        <w:tc>
          <w:tcPr>
            <w:tcW w:type="dxa" w:w="9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26.08%</w:t>
            </w:r>
          </w:p>
        </w:tc>
        <w:tc>
          <w:tcPr>
            <w:tcW w:type="dxa" w:w="9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80.75</w:t>
            </w:r>
          </w:p>
        </w:tc>
      </w:tr>
      <w:tr>
        <w:tc>
          <w:tcPr>
            <w:tcW w:type="dxa" w:w="936"/>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20"/>
                <w:szCs w:val="20"/>
              </w:rPr>
              <w:t xml:space="preserve">3</w:t>
            </w:r>
          </w:p>
        </w:tc>
        <w:tc>
          <w:tcPr>
            <w:tcW w:type="dxa" w:w="234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20"/>
                <w:szCs w:val="20"/>
              </w:rPr>
              <w:t xml:space="preserve">HDFC Mutual Fund</w:t>
            </w:r>
          </w:p>
        </w:tc>
        <w:tc>
          <w:tcPr>
            <w:tcW w:type="dxa" w:w="1404"/>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20"/>
                <w:szCs w:val="20"/>
              </w:rPr>
              <w:t xml:space="preserve">Mid Cap</w:t>
            </w:r>
          </w:p>
        </w:tc>
        <w:tc>
          <w:tcPr>
            <w:tcW w:type="dxa" w:w="1404"/>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20"/>
                <w:szCs w:val="20"/>
              </w:rPr>
              <w:t xml:space="preserve">31.07%</w:t>
            </w:r>
          </w:p>
        </w:tc>
        <w:tc>
          <w:tcPr>
            <w:tcW w:type="dxa" w:w="936"/>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20"/>
                <w:szCs w:val="20"/>
              </w:rPr>
              <w:t xml:space="preserve">1.09</w:t>
            </w:r>
          </w:p>
        </w:tc>
        <w:tc>
          <w:tcPr>
            <w:tcW w:type="dxa" w:w="1404"/>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20"/>
                <w:szCs w:val="20"/>
              </w:rPr>
              <w:t xml:space="preserve">27.20%</w:t>
            </w:r>
          </w:p>
        </w:tc>
        <w:tc>
          <w:tcPr>
            <w:tcW w:type="dxa" w:w="936"/>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20"/>
                <w:szCs w:val="20"/>
              </w:rPr>
              <w:t xml:space="preserve">80.5</w:t>
            </w:r>
          </w:p>
        </w:tc>
      </w:tr>
      <w:tr>
        <w:tc>
          <w:tcPr>
            <w:tcW w:type="dxa" w:w="9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Mirae Asset MF</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Large Cap</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32.56%</w:t>
            </w:r>
          </w:p>
        </w:tc>
        <w:tc>
          <w:tcPr>
            <w:tcW w:type="dxa" w:w="9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1.45</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26.98%</w:t>
            </w:r>
          </w:p>
        </w:tc>
        <w:tc>
          <w:tcPr>
            <w:tcW w:type="dxa" w:w="9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80.0</w:t>
            </w:r>
          </w:p>
        </w:tc>
      </w:tr>
      <w:tr>
        <w:tc>
          <w:tcPr>
            <w:tcW w:type="dxa" w:w="936"/>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20"/>
                <w:szCs w:val="20"/>
              </w:rPr>
              <w:t xml:space="preserve">5</w:t>
            </w:r>
          </w:p>
        </w:tc>
        <w:tc>
          <w:tcPr>
            <w:tcW w:type="dxa" w:w="234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20"/>
                <w:szCs w:val="20"/>
              </w:rPr>
              <w:t xml:space="preserve">Kotak Mahindra MF</w:t>
            </w:r>
          </w:p>
        </w:tc>
        <w:tc>
          <w:tcPr>
            <w:tcW w:type="dxa" w:w="1404"/>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20"/>
                <w:szCs w:val="20"/>
              </w:rPr>
              <w:t xml:space="preserve">Flexi Cap</w:t>
            </w:r>
          </w:p>
        </w:tc>
        <w:tc>
          <w:tcPr>
            <w:tcW w:type="dxa" w:w="1404"/>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20"/>
                <w:szCs w:val="20"/>
              </w:rPr>
              <w:t xml:space="preserve">28.35%</w:t>
            </w:r>
          </w:p>
        </w:tc>
        <w:tc>
          <w:tcPr>
            <w:tcW w:type="dxa" w:w="936"/>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20"/>
                <w:szCs w:val="20"/>
              </w:rPr>
              <w:t xml:space="preserve">1.31</w:t>
            </w:r>
          </w:p>
        </w:tc>
        <w:tc>
          <w:tcPr>
            <w:tcW w:type="dxa" w:w="1404"/>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20"/>
                <w:szCs w:val="20"/>
              </w:rPr>
              <w:t xml:space="preserve">27.33%</w:t>
            </w:r>
          </w:p>
        </w:tc>
        <w:tc>
          <w:tcPr>
            <w:tcW w:type="dxa" w:w="936"/>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20"/>
                <w:szCs w:val="20"/>
              </w:rPr>
              <w:t xml:space="preserve">78.25</w:t>
            </w:r>
          </w:p>
        </w:tc>
      </w:tr>
      <w:tr>
        <w:tc>
          <w:tcPr>
            <w:tcW w:type="dxa" w:w="9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ICICI Prudential MF</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Large Cap</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31.12%</w:t>
            </w:r>
          </w:p>
        </w:tc>
        <w:tc>
          <w:tcPr>
            <w:tcW w:type="dxa" w:w="9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1.03</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21.19%</w:t>
            </w:r>
          </w:p>
        </w:tc>
        <w:tc>
          <w:tcPr>
            <w:tcW w:type="dxa" w:w="9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75.75</w:t>
            </w:r>
          </w:p>
        </w:tc>
      </w:tr>
      <w:tr>
        <w:tc>
          <w:tcPr>
            <w:tcW w:type="dxa" w:w="936"/>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20"/>
                <w:szCs w:val="20"/>
              </w:rPr>
              <w:t xml:space="preserve">7</w:t>
            </w:r>
          </w:p>
        </w:tc>
        <w:tc>
          <w:tcPr>
            <w:tcW w:type="dxa" w:w="234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20"/>
                <w:szCs w:val="20"/>
              </w:rPr>
              <w:t xml:space="preserve">SBI Mutual Fund</w:t>
            </w:r>
          </w:p>
        </w:tc>
        <w:tc>
          <w:tcPr>
            <w:tcW w:type="dxa" w:w="1404"/>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20"/>
                <w:szCs w:val="20"/>
              </w:rPr>
              <w:t xml:space="preserve">Small Cap</w:t>
            </w:r>
          </w:p>
        </w:tc>
        <w:tc>
          <w:tcPr>
            <w:tcW w:type="dxa" w:w="1404"/>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20"/>
                <w:szCs w:val="20"/>
              </w:rPr>
              <w:t xml:space="preserve">25.57%</w:t>
            </w:r>
          </w:p>
        </w:tc>
        <w:tc>
          <w:tcPr>
            <w:tcW w:type="dxa" w:w="936"/>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20"/>
                <w:szCs w:val="20"/>
              </w:rPr>
              <w:t xml:space="preserve">0.95</w:t>
            </w:r>
          </w:p>
        </w:tc>
        <w:tc>
          <w:tcPr>
            <w:tcW w:type="dxa" w:w="1404"/>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20"/>
                <w:szCs w:val="20"/>
              </w:rPr>
              <w:t xml:space="preserve">30.34%</w:t>
            </w:r>
          </w:p>
        </w:tc>
        <w:tc>
          <w:tcPr>
            <w:tcW w:type="dxa" w:w="936"/>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20"/>
                <w:szCs w:val="20"/>
              </w:rPr>
              <w:t xml:space="preserve">75.12</w:t>
            </w:r>
          </w:p>
        </w:tc>
      </w:tr>
      <w:tr>
        <w:tc>
          <w:tcPr>
            <w:tcW w:type="dxa" w:w="9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DSP Mutual Fund</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Small Cap</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25.88%</w:t>
            </w:r>
          </w:p>
        </w:tc>
        <w:tc>
          <w:tcPr>
            <w:tcW w:type="dxa" w:w="9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0.95</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30.06%</w:t>
            </w:r>
          </w:p>
        </w:tc>
        <w:tc>
          <w:tcPr>
            <w:tcW w:type="dxa" w:w="9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74.94</w:t>
            </w:r>
          </w:p>
        </w:tc>
      </w:tr>
      <w:tr>
        <w:tc>
          <w:tcPr>
            <w:tcW w:type="dxa" w:w="936"/>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20"/>
                <w:szCs w:val="20"/>
              </w:rPr>
              <w:t xml:space="preserve">9</w:t>
            </w:r>
          </w:p>
        </w:tc>
        <w:tc>
          <w:tcPr>
            <w:tcW w:type="dxa" w:w="234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20"/>
                <w:szCs w:val="20"/>
              </w:rPr>
              <w:t xml:space="preserve">Mirae Asset MF</w:t>
            </w:r>
          </w:p>
        </w:tc>
        <w:tc>
          <w:tcPr>
            <w:tcW w:type="dxa" w:w="1404"/>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20"/>
                <w:szCs w:val="20"/>
              </w:rPr>
              <w:t xml:space="preserve">ELSS</w:t>
            </w:r>
          </w:p>
        </w:tc>
        <w:tc>
          <w:tcPr>
            <w:tcW w:type="dxa" w:w="1404"/>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20"/>
                <w:szCs w:val="20"/>
              </w:rPr>
              <w:t xml:space="preserve">27.96%</w:t>
            </w:r>
          </w:p>
        </w:tc>
        <w:tc>
          <w:tcPr>
            <w:tcW w:type="dxa" w:w="936"/>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20"/>
                <w:szCs w:val="20"/>
              </w:rPr>
              <w:t xml:space="preserve">1.23</w:t>
            </w:r>
          </w:p>
        </w:tc>
        <w:tc>
          <w:tcPr>
            <w:tcW w:type="dxa" w:w="1404"/>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20"/>
                <w:szCs w:val="20"/>
              </w:rPr>
              <w:t xml:space="preserve">28.27%</w:t>
            </w:r>
          </w:p>
        </w:tc>
        <w:tc>
          <w:tcPr>
            <w:tcW w:type="dxa" w:w="936"/>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20"/>
                <w:szCs w:val="20"/>
              </w:rPr>
              <w:t xml:space="preserve">73.94</w:t>
            </w:r>
          </w:p>
        </w:tc>
      </w:tr>
      <w:tr>
        <w:tc>
          <w:tcPr>
            <w:tcW w:type="dxa" w:w="9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SBI Mutual Fund</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Large Cap</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29.18%</w:t>
            </w:r>
          </w:p>
        </w:tc>
        <w:tc>
          <w:tcPr>
            <w:tcW w:type="dxa" w:w="9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1.21</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23.20%</w:t>
            </w:r>
          </w:p>
        </w:tc>
        <w:tc>
          <w:tcPr>
            <w:tcW w:type="dxa" w:w="9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73.06</w:t>
            </w:r>
          </w:p>
        </w:tc>
      </w:tr>
    </w:tbl>
    <w:p>
      <w:pPr>
        <w:spacing w:after="120" w:before="120"/>
      </w:pPr>
      <w:r>
        <w:t xml:space="preserve"/>
      </w:r>
    </w:p>
    <w:p>
      <w:pPr>
        <w:pStyle w:val="Heading1"/>
        <w:pBdr>
          <w:bottom w:val="single" w:color="2E75B6" w:sz="6" w:space="1"/>
        </w:pBdr>
        <w:spacing w:after="180" w:before="360"/>
      </w:pPr>
      <w:r>
        <w:rPr>
          <w:rFonts w:ascii="Arial" w:cs="Arial" w:eastAsia="Arial" w:hAnsi="Arial"/>
          <w:b/>
          <w:bCs/>
          <w:color w:val="1F3864"/>
          <w:sz w:val="32"/>
          <w:szCs w:val="32"/>
        </w:rPr>
        <w:t xml:space="preserve">7. Advanced Analytics &amp; Risk Metrics</w:t>
      </w:r>
    </w:p>
    <w:p>
      <w:pPr>
        <w:pStyle w:val="Heading2"/>
        <w:spacing w:after="120" w:before="240"/>
      </w:pPr>
      <w:r>
        <w:rPr>
          <w:rFonts w:ascii="Arial" w:cs="Arial" w:eastAsia="Arial" w:hAnsi="Arial"/>
          <w:b/>
          <w:bCs/>
          <w:color w:val="2E75B6"/>
          <w:sz w:val="26"/>
          <w:szCs w:val="26"/>
        </w:rPr>
        <w:t xml:space="preserve">7.1 Value at Risk (VaR) &amp; CVaR</w:t>
      </w:r>
    </w:p>
    <w:p>
      <w:pPr>
        <w:spacing w:after="80" w:before="80"/>
        <w:jc w:val="left"/>
      </w:pPr>
      <w:r>
        <w:rPr>
          <w:rFonts w:ascii="Arial" w:cs="Arial" w:eastAsia="Arial" w:hAnsi="Arial"/>
          <w:sz w:val="22"/>
          <w:szCs w:val="22"/>
        </w:rPr>
        <w:t xml:space="preserve">Historical VaR at 95% confidence was computed as the 5th percentile of daily returns for all 40 funds. CVaR (Conditional VaR) is the mean return below the VaR threshold — representing expected loss in worst-case scenarios.</w:t>
      </w:r>
    </w:p>
    <w:p>
      <w:pPr>
        <w:pStyle w:val="ListParagraph"/>
        <w:numPr>
          <w:ilvl w:val="0"/>
          <w:numId w:val="2"/>
        </w:numPr>
        <w:spacing w:after="60" w:before="60"/>
      </w:pPr>
      <w:r>
        <w:rPr>
          <w:rFonts w:ascii="Arial" w:cs="Arial" w:eastAsia="Arial" w:hAnsi="Arial"/>
          <w:sz w:val="22"/>
          <w:szCs w:val="22"/>
        </w:rPr>
        <w:t xml:space="preserve">Highest VaR: SBI MF Small Cap — daily VaR of -2.69% (worst 5% of days exceed this loss)</w:t>
      </w:r>
    </w:p>
    <w:p>
      <w:pPr>
        <w:pStyle w:val="ListParagraph"/>
        <w:numPr>
          <w:ilvl w:val="0"/>
          <w:numId w:val="2"/>
        </w:numPr>
        <w:spacing w:after="60" w:before="60"/>
      </w:pPr>
      <w:r>
        <w:rPr>
          <w:rFonts w:ascii="Arial" w:cs="Arial" w:eastAsia="Arial" w:hAnsi="Arial"/>
          <w:sz w:val="22"/>
          <w:szCs w:val="22"/>
        </w:rPr>
        <w:t xml:space="preserve">Lowest VaR: ICICI Pru Liquid Fund — VaR of -0.02% (near-zero risk as expected for liquid funds)</w:t>
      </w:r>
    </w:p>
    <w:p>
      <w:pPr>
        <w:pStyle w:val="ListParagraph"/>
        <w:numPr>
          <w:ilvl w:val="0"/>
          <w:numId w:val="2"/>
        </w:numPr>
        <w:spacing w:after="60" w:before="60"/>
      </w:pPr>
      <w:r>
        <w:rPr>
          <w:rFonts w:ascii="Arial" w:cs="Arial" w:eastAsia="Arial" w:hAnsi="Arial"/>
          <w:sz w:val="22"/>
          <w:szCs w:val="22"/>
        </w:rPr>
        <w:t xml:space="preserve">CVaR consistently 20-30% worse than VaR across all funds, indicating fat-tailed return distributions</w:t>
      </w:r>
    </w:p>
    <w:p>
      <w:pPr>
        <w:spacing w:after="120" w:before="120"/>
      </w:pPr>
      <w:r>
        <w:t xml:space="preserve"/>
      </w:r>
    </w:p>
    <w:p>
      <w:pPr>
        <w:pStyle w:val="Heading2"/>
        <w:spacing w:after="120" w:before="240"/>
      </w:pPr>
      <w:r>
        <w:rPr>
          <w:rFonts w:ascii="Arial" w:cs="Arial" w:eastAsia="Arial" w:hAnsi="Arial"/>
          <w:b/>
          <w:bCs/>
          <w:color w:val="2E75B6"/>
          <w:sz w:val="26"/>
          <w:szCs w:val="26"/>
        </w:rPr>
        <w:t xml:space="preserve">7.2 Investor Cohort Analysis</w:t>
      </w:r>
    </w:p>
    <w:p>
      <w:pPr>
        <w:pStyle w:val="ListParagraph"/>
        <w:numPr>
          <w:ilvl w:val="0"/>
          <w:numId w:val="2"/>
        </w:numPr>
        <w:spacing w:after="60" w:before="60"/>
      </w:pPr>
      <w:r>
        <w:rPr>
          <w:rFonts w:ascii="Arial" w:cs="Arial" w:eastAsia="Arial" w:hAnsi="Arial"/>
          <w:sz w:val="22"/>
          <w:szCs w:val="22"/>
        </w:rPr>
        <w:t xml:space="preserve">2024 cohort: 4,456 investors, avg SIP Rs.10,987, total invested Rs.21.2 crore</w:t>
      </w:r>
    </w:p>
    <w:p>
      <w:pPr>
        <w:pStyle w:val="ListParagraph"/>
        <w:numPr>
          <w:ilvl w:val="0"/>
          <w:numId w:val="2"/>
        </w:numPr>
        <w:spacing w:after="60" w:before="60"/>
      </w:pPr>
      <w:r>
        <w:rPr>
          <w:rFonts w:ascii="Arial" w:cs="Arial" w:eastAsia="Arial" w:hAnsi="Arial"/>
          <w:sz w:val="22"/>
          <w:szCs w:val="22"/>
        </w:rPr>
        <w:t xml:space="preserve">2025 cohort: 306 investors, avg SIP Rs.12,517 — newer investors start with higher amounts</w:t>
      </w:r>
    </w:p>
    <w:p>
      <w:pPr>
        <w:pStyle w:val="ListParagraph"/>
        <w:numPr>
          <w:ilvl w:val="0"/>
          <w:numId w:val="2"/>
        </w:numPr>
        <w:spacing w:after="60" w:before="60"/>
      </w:pPr>
      <w:r>
        <w:rPr>
          <w:rFonts w:ascii="Arial" w:cs="Arial" w:eastAsia="Arial" w:hAnsi="Arial"/>
          <w:sz w:val="22"/>
          <w:szCs w:val="22"/>
        </w:rPr>
        <w:t xml:space="preserve">Top preferred fund house for both cohorts: Aditya Birla Sun Life MF and SBI MF</w:t>
      </w:r>
    </w:p>
    <w:p>
      <w:pPr>
        <w:spacing w:after="120" w:before="120"/>
      </w:pPr>
      <w:r>
        <w:t xml:space="preserve"/>
      </w:r>
    </w:p>
    <w:p>
      <w:pPr>
        <w:pStyle w:val="Heading2"/>
        <w:spacing w:after="120" w:before="240"/>
      </w:pPr>
      <w:r>
        <w:rPr>
          <w:rFonts w:ascii="Arial" w:cs="Arial" w:eastAsia="Arial" w:hAnsi="Arial"/>
          <w:b/>
          <w:bCs/>
          <w:color w:val="2E75B6"/>
          <w:sz w:val="26"/>
          <w:szCs w:val="26"/>
        </w:rPr>
        <w:t xml:space="preserve">7.3 SIP Continuity</w:t>
      </w:r>
    </w:p>
    <w:p>
      <w:pPr>
        <w:pStyle w:val="ListParagraph"/>
        <w:numPr>
          <w:ilvl w:val="0"/>
          <w:numId w:val="2"/>
        </w:numPr>
        <w:spacing w:after="60" w:before="60"/>
      </w:pPr>
      <w:r>
        <w:rPr>
          <w:rFonts w:ascii="Arial" w:cs="Arial" w:eastAsia="Arial" w:hAnsi="Arial"/>
          <w:sz w:val="22"/>
          <w:szCs w:val="22"/>
        </w:rPr>
        <w:t xml:space="preserve">1,362 investors with 6+ SIP transactions analysed</w:t>
      </w:r>
    </w:p>
    <w:p>
      <w:pPr>
        <w:pStyle w:val="ListParagraph"/>
        <w:numPr>
          <w:ilvl w:val="0"/>
          <w:numId w:val="2"/>
        </w:numPr>
        <w:spacing w:after="60" w:before="60"/>
      </w:pPr>
      <w:r>
        <w:rPr>
          <w:rFonts w:ascii="Arial" w:cs="Arial" w:eastAsia="Arial" w:hAnsi="Arial"/>
          <w:sz w:val="22"/>
          <w:szCs w:val="22"/>
        </w:rPr>
        <w:t xml:space="preserve">97.8% flagged as at-risk with average gap &gt; 35 days between SIPs</w:t>
      </w:r>
    </w:p>
    <w:p>
      <w:pPr>
        <w:pStyle w:val="ListParagraph"/>
        <w:numPr>
          <w:ilvl w:val="0"/>
          <w:numId w:val="2"/>
        </w:numPr>
        <w:spacing w:after="60" w:before="60"/>
      </w:pPr>
      <w:r>
        <w:rPr>
          <w:rFonts w:ascii="Arial" w:cs="Arial" w:eastAsia="Arial" w:hAnsi="Arial"/>
          <w:sz w:val="22"/>
          <w:szCs w:val="22"/>
        </w:rPr>
        <w:t xml:space="preserve">Indicates high SIP discontinuation rates — significant AMC churn risk</w:t>
      </w:r>
    </w:p>
    <w:p>
      <w:pPr>
        <w:spacing w:after="120" w:before="120"/>
      </w:pPr>
      <w:r>
        <w:t xml:space="preserve"/>
      </w:r>
    </w:p>
    <w:p>
      <w:pPr>
        <w:pStyle w:val="Heading2"/>
        <w:spacing w:after="120" w:before="240"/>
      </w:pPr>
      <w:r>
        <w:rPr>
          <w:rFonts w:ascii="Arial" w:cs="Arial" w:eastAsia="Arial" w:hAnsi="Arial"/>
          <w:b/>
          <w:bCs/>
          <w:color w:val="2E75B6"/>
          <w:sz w:val="26"/>
          <w:szCs w:val="26"/>
        </w:rPr>
        <w:t xml:space="preserve">7.4 Sector HHI Concentration</w:t>
      </w:r>
    </w:p>
    <w:p>
      <w:pPr>
        <w:pStyle w:val="ListParagraph"/>
        <w:numPr>
          <w:ilvl w:val="0"/>
          <w:numId w:val="2"/>
        </w:numPr>
        <w:spacing w:after="60" w:before="60"/>
      </w:pPr>
      <w:r>
        <w:rPr>
          <w:rFonts w:ascii="Arial" w:cs="Arial" w:eastAsia="Arial" w:hAnsi="Arial"/>
          <w:sz w:val="22"/>
          <w:szCs w:val="22"/>
        </w:rPr>
        <w:t xml:space="preserve">Axis MF most concentrated: HHI = 2,064 with heavy IT sector exposure</w:t>
      </w:r>
    </w:p>
    <w:p>
      <w:pPr>
        <w:pStyle w:val="ListParagraph"/>
        <w:numPr>
          <w:ilvl w:val="0"/>
          <w:numId w:val="2"/>
        </w:numPr>
        <w:spacing w:after="60" w:before="60"/>
      </w:pPr>
      <w:r>
        <w:rPr>
          <w:rFonts w:ascii="Arial" w:cs="Arial" w:eastAsia="Arial" w:hAnsi="Arial"/>
          <w:sz w:val="22"/>
          <w:szCs w:val="22"/>
        </w:rPr>
        <w:t xml:space="preserve">Aditya Birla Sun Life MF: HHI = 2,007, concentrated in Pharma</w:t>
      </w:r>
    </w:p>
    <w:p>
      <w:pPr>
        <w:pStyle w:val="ListParagraph"/>
        <w:numPr>
          <w:ilvl w:val="0"/>
          <w:numId w:val="2"/>
        </w:numPr>
        <w:spacing w:after="60" w:before="60"/>
      </w:pPr>
      <w:r>
        <w:rPr>
          <w:rFonts w:ascii="Arial" w:cs="Arial" w:eastAsia="Arial" w:hAnsi="Arial"/>
          <w:sz w:val="22"/>
          <w:szCs w:val="22"/>
        </w:rPr>
        <w:t xml:space="preserve">Funds with HHI &gt; 1,500 classified as highly concentrated — higher unsystematic risk</w:t>
      </w:r>
    </w:p>
    <w:p>
      <w:pPr>
        <w:spacing w:after="120" w:before="120"/>
      </w:pPr>
      <w:r>
        <w:t xml:space="preserve"/>
      </w:r>
    </w:p>
    <w:p>
      <w:pPr>
        <w:pStyle w:val="Heading1"/>
        <w:pBdr>
          <w:bottom w:val="single" w:color="2E75B6" w:sz="6" w:space="1"/>
        </w:pBdr>
        <w:spacing w:after="180" w:before="360"/>
      </w:pPr>
      <w:r>
        <w:rPr>
          <w:rFonts w:ascii="Arial" w:cs="Arial" w:eastAsia="Arial" w:hAnsi="Arial"/>
          <w:b/>
          <w:bCs/>
          <w:color w:val="1F3864"/>
          <w:sz w:val="32"/>
          <w:szCs w:val="32"/>
        </w:rPr>
        <w:t xml:space="preserve">8. Power BI Dashboard</w:t>
      </w:r>
    </w:p>
    <w:p>
      <w:pPr>
        <w:spacing w:after="80" w:before="80"/>
        <w:jc w:val="left"/>
      </w:pPr>
      <w:r>
        <w:rPr>
          <w:rFonts w:ascii="Arial" w:cs="Arial" w:eastAsia="Arial" w:hAnsi="Arial"/>
          <w:sz w:val="22"/>
          <w:szCs w:val="22"/>
        </w:rPr>
        <w:t xml:space="preserve">The dashboard was built in Power BI Desktop with 4 pages, 8 data tables, and interactive slicers.</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4212"/>
        <w:gridCol w:w="2808"/>
      </w:tblGrid>
      <w:tr>
        <w:trPr>
          <w:tblHeader/>
        </w:trPr>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Page</w:t>
            </w:r>
          </w:p>
        </w:tc>
        <w:tc>
          <w:tcPr>
            <w:tcW w:type="dxa" w:w="4212"/>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Key Visuals</w:t>
            </w:r>
          </w:p>
        </w:tc>
        <w:tc>
          <w:tcPr>
            <w:tcW w:type="dxa" w:w="2808"/>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Slicers</w:t>
            </w:r>
          </w:p>
        </w:tc>
      </w:tr>
      <w:tr>
        <w:tc>
          <w:tcPr>
            <w:tcW w:type="dxa" w:w="234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20"/>
                <w:szCs w:val="20"/>
              </w:rPr>
              <w:t xml:space="preserve">Page 1: Industry Overview</w:t>
            </w:r>
          </w:p>
        </w:tc>
        <w:tc>
          <w:tcPr>
            <w:tcW w:type="dxa" w:w="4212"/>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20"/>
                <w:szCs w:val="20"/>
              </w:rPr>
              <w:t xml:space="preserve">KPI cards (AUM, SIP, Folios, Schemes), AUM trend line, AUM bar by AMC</w:t>
            </w:r>
          </w:p>
        </w:tc>
        <w:tc>
          <w:tcPr>
            <w:tcW w:type="dxa" w:w="2808"/>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20"/>
                <w:szCs w:val="20"/>
              </w:rPr>
              <w:t xml:space="preserve">Year, Fund House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Page 2: Fund Performance</w:t>
            </w:r>
          </w:p>
        </w:tc>
        <w:tc>
          <w:tcPr>
            <w:tcW w:type="dxa" w:w="421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Return vs Risk scatter (bubble=AUM), Fund Scorecard table, NAV vs benchmark line</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Fund House, Category, Plan</w:t>
            </w:r>
          </w:p>
        </w:tc>
      </w:tr>
      <w:tr>
        <w:tc>
          <w:tcPr>
            <w:tcW w:type="dxa" w:w="234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20"/>
                <w:szCs w:val="20"/>
              </w:rPr>
              <w:t xml:space="preserve">Page 3: Investor Analytics</w:t>
            </w:r>
          </w:p>
        </w:tc>
        <w:tc>
          <w:tcPr>
            <w:tcW w:type="dxa" w:w="4212"/>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20"/>
                <w:szCs w:val="20"/>
              </w:rPr>
              <w:t xml:space="preserve">Transaction by state bar, SIP/Lumpsum/Redemption donut, Age vs SIP bar, Monthly volume line</w:t>
            </w:r>
          </w:p>
        </w:tc>
        <w:tc>
          <w:tcPr>
            <w:tcW w:type="dxa" w:w="2808"/>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20"/>
                <w:szCs w:val="20"/>
              </w:rPr>
              <w:t xml:space="preserve">State, Age Group, City Tier</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Page 4: SIP &amp; Market Trends</w:t>
            </w:r>
          </w:p>
        </w:tc>
        <w:tc>
          <w:tcPr>
            <w:tcW w:type="dxa" w:w="421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Dual-axis SIP+Nifty50, Category inflow matrix heatmap, Top 5 categories FY25 bar</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Year, Category</w:t>
            </w:r>
          </w:p>
        </w:tc>
      </w:tr>
    </w:tbl>
    <w:p>
      <w:pPr>
        <w:spacing w:after="120" w:before="120"/>
      </w:pPr>
      <w:r>
        <w:t xml:space="preserve"/>
      </w:r>
    </w:p>
    <w:p>
      <w:pPr>
        <w:pStyle w:val="Heading1"/>
        <w:pBdr>
          <w:bottom w:val="single" w:color="2E75B6" w:sz="6" w:space="1"/>
        </w:pBdr>
        <w:spacing w:after="180" w:before="360"/>
      </w:pPr>
      <w:r>
        <w:rPr>
          <w:rFonts w:ascii="Arial" w:cs="Arial" w:eastAsia="Arial" w:hAnsi="Arial"/>
          <w:b/>
          <w:bCs/>
          <w:color w:val="1F3864"/>
          <w:sz w:val="32"/>
          <w:szCs w:val="32"/>
        </w:rPr>
        <w:t xml:space="preserve">9. Limitations</w:t>
      </w:r>
    </w:p>
    <w:p>
      <w:pPr>
        <w:pStyle w:val="ListParagraph"/>
        <w:numPr>
          <w:ilvl w:val="0"/>
          <w:numId w:val="2"/>
        </w:numPr>
        <w:spacing w:after="60" w:before="60"/>
      </w:pPr>
      <w:r>
        <w:rPr>
          <w:rFonts w:ascii="Arial" w:cs="Arial" w:eastAsia="Arial" w:hAnsi="Arial"/>
          <w:sz w:val="22"/>
          <w:szCs w:val="22"/>
        </w:rPr>
        <w:t xml:space="preserve">Investor transaction data is synthetically generated — behavioural insights are directional, not statistically validated against real AMFI investor data</w:t>
      </w:r>
    </w:p>
    <w:p>
      <w:pPr>
        <w:pStyle w:val="ListParagraph"/>
        <w:numPr>
          <w:ilvl w:val="0"/>
          <w:numId w:val="2"/>
        </w:numPr>
        <w:spacing w:after="60" w:before="60"/>
      </w:pPr>
      <w:r>
        <w:rPr>
          <w:rFonts w:ascii="Arial" w:cs="Arial" w:eastAsia="Arial" w:hAnsi="Arial"/>
          <w:sz w:val="22"/>
          <w:szCs w:val="22"/>
        </w:rPr>
        <w:t xml:space="preserve">NAV data covers Jan 2022 to May 2026 only — 5yr CAGR is computed for fewer funds due to data availability</w:t>
      </w:r>
    </w:p>
    <w:p>
      <w:pPr>
        <w:pStyle w:val="ListParagraph"/>
        <w:numPr>
          <w:ilvl w:val="0"/>
          <w:numId w:val="2"/>
        </w:numPr>
        <w:spacing w:after="60" w:before="60"/>
      </w:pPr>
      <w:r>
        <w:rPr>
          <w:rFonts w:ascii="Arial" w:cs="Arial" w:eastAsia="Arial" w:hAnsi="Arial"/>
          <w:sz w:val="22"/>
          <w:szCs w:val="22"/>
        </w:rPr>
        <w:t xml:space="preserve">Benchmark regression uses Nifty 100 for all fund types — debt and liquid funds should ideally use CRISIL indices</w:t>
      </w:r>
    </w:p>
    <w:p>
      <w:pPr>
        <w:pStyle w:val="ListParagraph"/>
        <w:numPr>
          <w:ilvl w:val="0"/>
          <w:numId w:val="2"/>
        </w:numPr>
        <w:spacing w:after="60" w:before="60"/>
      </w:pPr>
      <w:r>
        <w:rPr>
          <w:rFonts w:ascii="Arial" w:cs="Arial" w:eastAsia="Arial" w:hAnsi="Arial"/>
          <w:sz w:val="22"/>
          <w:szCs w:val="22"/>
        </w:rPr>
        <w:t xml:space="preserve">Power BI dashboard requires manual refresh — not connected to a live data pipeline</w:t>
      </w:r>
    </w:p>
    <w:p>
      <w:pPr>
        <w:pStyle w:val="ListParagraph"/>
        <w:numPr>
          <w:ilvl w:val="0"/>
          <w:numId w:val="2"/>
        </w:numPr>
        <w:spacing w:after="60" w:before="60"/>
      </w:pPr>
      <w:r>
        <w:rPr>
          <w:rFonts w:ascii="Arial" w:cs="Arial" w:eastAsia="Arial" w:hAnsi="Arial"/>
          <w:sz w:val="22"/>
          <w:szCs w:val="22"/>
        </w:rPr>
        <w:t xml:space="preserve">SIP continuity analysis shows 97.8% at-risk rate which may reflect synthetic data distribution rather than real investor behaviour</w:t>
      </w:r>
    </w:p>
    <w:p>
      <w:pPr>
        <w:spacing w:after="120" w:before="120"/>
      </w:pPr>
      <w:r>
        <w:t xml:space="preserve"/>
      </w:r>
    </w:p>
    <w:p>
      <w:pPr>
        <w:pStyle w:val="Heading1"/>
        <w:pBdr>
          <w:bottom w:val="single" w:color="2E75B6" w:sz="6" w:space="1"/>
        </w:pBdr>
        <w:spacing w:after="180" w:before="360"/>
      </w:pPr>
      <w:r>
        <w:rPr>
          <w:rFonts w:ascii="Arial" w:cs="Arial" w:eastAsia="Arial" w:hAnsi="Arial"/>
          <w:b/>
          <w:bCs/>
          <w:color w:val="1F3864"/>
          <w:sz w:val="32"/>
          <w:szCs w:val="32"/>
        </w:rPr>
        <w:t xml:space="preserve">10. Recommendations</w:t>
      </w:r>
    </w:p>
    <w:p>
      <w:pPr>
        <w:pStyle w:val="ListParagraph"/>
        <w:numPr>
          <w:ilvl w:val="0"/>
          <w:numId w:val="2"/>
        </w:numPr>
        <w:spacing w:after="60" w:before="60"/>
      </w:pPr>
      <w:r>
        <w:rPr>
          <w:rFonts w:ascii="Arial" w:cs="Arial" w:eastAsia="Arial" w:hAnsi="Arial"/>
          <w:sz w:val="22"/>
          <w:szCs w:val="22"/>
        </w:rPr>
        <w:t xml:space="preserve">For investors: Mid Cap funds (ICICI Pru, HDFC) offer the best risk-adjusted returns per the scorecard — suitable for investors with 3-5 year horizon and moderate-high risk appetite</w:t>
      </w:r>
    </w:p>
    <w:p>
      <w:pPr>
        <w:pStyle w:val="ListParagraph"/>
        <w:numPr>
          <w:ilvl w:val="0"/>
          <w:numId w:val="2"/>
        </w:numPr>
        <w:spacing w:after="60" w:before="60"/>
      </w:pPr>
      <w:r>
        <w:rPr>
          <w:rFonts w:ascii="Arial" w:cs="Arial" w:eastAsia="Arial" w:hAnsi="Arial"/>
          <w:sz w:val="22"/>
          <w:szCs w:val="22"/>
        </w:rPr>
        <w:t xml:space="preserve">For AMCs: High SIP discontinuation rate (97.8% at-risk) suggests need for automated SIP reminder and top-up nudge systems</w:t>
      </w:r>
    </w:p>
    <w:p>
      <w:pPr>
        <w:pStyle w:val="ListParagraph"/>
        <w:numPr>
          <w:ilvl w:val="0"/>
          <w:numId w:val="2"/>
        </w:numPr>
        <w:spacing w:after="60" w:before="60"/>
      </w:pPr>
      <w:r>
        <w:rPr>
          <w:rFonts w:ascii="Arial" w:cs="Arial" w:eastAsia="Arial" w:hAnsi="Arial"/>
          <w:sz w:val="22"/>
          <w:szCs w:val="22"/>
        </w:rPr>
        <w:t xml:space="preserve">For Bluestock Fintech: Schedule ETL pipeline to auto-fetch NAV from mfapi.in daily and refresh the Power BI dataset for live monitoring</w:t>
      </w:r>
    </w:p>
    <w:p>
      <w:pPr>
        <w:pStyle w:val="ListParagraph"/>
        <w:numPr>
          <w:ilvl w:val="0"/>
          <w:numId w:val="2"/>
        </w:numPr>
        <w:spacing w:after="60" w:before="60"/>
      </w:pPr>
      <w:r>
        <w:rPr>
          <w:rFonts w:ascii="Arial" w:cs="Arial" w:eastAsia="Arial" w:hAnsi="Arial"/>
          <w:sz w:val="22"/>
          <w:szCs w:val="22"/>
        </w:rPr>
        <w:t xml:space="preserve">For dashboard users: Use fund house + category slicers together on Page 2 to isolate best funds within peer groups</w:t>
      </w:r>
    </w:p>
    <w:p>
      <w:pPr>
        <w:pStyle w:val="ListParagraph"/>
        <w:numPr>
          <w:ilvl w:val="0"/>
          <w:numId w:val="2"/>
        </w:numPr>
        <w:spacing w:after="60" w:before="60"/>
      </w:pPr>
      <w:r>
        <w:rPr>
          <w:rFonts w:ascii="Arial" w:cs="Arial" w:eastAsia="Arial" w:hAnsi="Arial"/>
          <w:sz w:val="22"/>
          <w:szCs w:val="22"/>
        </w:rPr>
        <w:t xml:space="preserve">Portfolio construction: Avoid holding multiple large cap funds (correlation &gt; 0.85) — diversify across large cap + mid cap + debt for balanced risk</w:t>
      </w:r>
    </w:p>
    <w:p>
      <w:pPr>
        <w:spacing w:after="120" w:before="120"/>
      </w:pPr>
      <w:r>
        <w:t xml:space="preserve"/>
      </w:r>
    </w:p>
    <w:p>
      <w:pPr>
        <w:pStyle w:val="Heading1"/>
        <w:pBdr>
          <w:bottom w:val="single" w:color="2E75B6" w:sz="6" w:space="1"/>
        </w:pBdr>
        <w:spacing w:after="180" w:before="360"/>
      </w:pPr>
      <w:r>
        <w:rPr>
          <w:rFonts w:ascii="Arial" w:cs="Arial" w:eastAsia="Arial" w:hAnsi="Arial"/>
          <w:b/>
          <w:bCs/>
          <w:color w:val="1F3864"/>
          <w:sz w:val="32"/>
          <w:szCs w:val="32"/>
        </w:rPr>
        <w:t xml:space="preserve">11. Technical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rPr>
          <w:tblHeader/>
        </w:trPr>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Tool</w:t>
            </w:r>
          </w:p>
        </w:tc>
        <w:tc>
          <w:tcPr>
            <w:tcW w:type="dxa" w:w="4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34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20"/>
                <w:szCs w:val="20"/>
              </w:rPr>
              <w:t xml:space="preserve">Language</w:t>
            </w:r>
          </w:p>
        </w:tc>
        <w:tc>
          <w:tcPr>
            <w:tcW w:type="dxa" w:w="234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20"/>
                <w:szCs w:val="20"/>
              </w:rPr>
              <w:t xml:space="preserve">Python 3.10+</w:t>
            </w:r>
          </w:p>
        </w:tc>
        <w:tc>
          <w:tcPr>
            <w:tcW w:type="dxa" w:w="468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20"/>
                <w:szCs w:val="20"/>
              </w:rPr>
              <w:t xml:space="preserve">All data processing and analytics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 Wrangling</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Pandas 2.0+</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DataFrames, cleaning, aggregation</w:t>
            </w:r>
          </w:p>
        </w:tc>
      </w:tr>
      <w:tr>
        <w:tc>
          <w:tcPr>
            <w:tcW w:type="dxa" w:w="234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20"/>
                <w:szCs w:val="20"/>
              </w:rPr>
              <w:t xml:space="preserve">Numerics</w:t>
            </w:r>
          </w:p>
        </w:tc>
        <w:tc>
          <w:tcPr>
            <w:tcW w:type="dxa" w:w="234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20"/>
                <w:szCs w:val="20"/>
              </w:rPr>
              <w:t xml:space="preserve">NumPy 1.26+</w:t>
            </w:r>
          </w:p>
        </w:tc>
        <w:tc>
          <w:tcPr>
            <w:tcW w:type="dxa" w:w="468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20"/>
                <w:szCs w:val="20"/>
              </w:rPr>
              <w:t xml:space="preserve">Risk metrics, statistical functions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Statistics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SciPy 1.13+</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OLS regression for Alpha/Beta</w:t>
            </w:r>
          </w:p>
        </w:tc>
      </w:tr>
      <w:tr>
        <w:tc>
          <w:tcPr>
            <w:tcW w:type="dxa" w:w="234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20"/>
                <w:szCs w:val="20"/>
              </w:rPr>
              <w:t xml:space="preserve">Visualisation</w:t>
            </w:r>
          </w:p>
        </w:tc>
        <w:tc>
          <w:tcPr>
            <w:tcW w:type="dxa" w:w="234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20"/>
                <w:szCs w:val="20"/>
              </w:rPr>
              <w:t xml:space="preserve">Matplotlib 3.8+</w:t>
            </w:r>
          </w:p>
        </w:tc>
        <w:tc>
          <w:tcPr>
            <w:tcW w:type="dxa" w:w="468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20"/>
                <w:szCs w:val="20"/>
              </w:rPr>
              <w:t xml:space="preserve">Static charts for reports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Visualisation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Seaborn 0.13+</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Heatmaps, correlation matrix</w:t>
            </w:r>
          </w:p>
        </w:tc>
      </w:tr>
      <w:tr>
        <w:tc>
          <w:tcPr>
            <w:tcW w:type="dxa" w:w="234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20"/>
                <w:szCs w:val="20"/>
              </w:rPr>
              <w:t xml:space="preserve">Database</w:t>
            </w:r>
          </w:p>
        </w:tc>
        <w:tc>
          <w:tcPr>
            <w:tcW w:type="dxa" w:w="234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20"/>
                <w:szCs w:val="20"/>
              </w:rPr>
              <w:t xml:space="preserve">SQLite3 + SQLAlchemy</w:t>
            </w:r>
          </w:p>
        </w:tc>
        <w:tc>
          <w:tcPr>
            <w:tcW w:type="dxa" w:w="468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20"/>
                <w:szCs w:val="20"/>
              </w:rPr>
              <w:t xml:space="preserve">Star schema, query analytics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Dashboard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Power BI Desktop</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4-page interactive dashboard</w:t>
            </w:r>
          </w:p>
        </w:tc>
      </w:tr>
      <w:tr>
        <w:tc>
          <w:tcPr>
            <w:tcW w:type="dxa" w:w="234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20"/>
                <w:szCs w:val="20"/>
              </w:rPr>
              <w:t xml:space="preserve">Version Control</w:t>
            </w:r>
          </w:p>
        </w:tc>
        <w:tc>
          <w:tcPr>
            <w:tcW w:type="dxa" w:w="234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20"/>
                <w:szCs w:val="20"/>
              </w:rPr>
              <w:t xml:space="preserve">Git + GitHub</w:t>
            </w:r>
          </w:p>
        </w:tc>
        <w:tc>
          <w:tcPr>
            <w:tcW w:type="dxa" w:w="468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20"/>
                <w:szCs w:val="20"/>
              </w:rPr>
              <w:t xml:space="preserve">Code versioning and submission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mfapi.in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Live NAV data (no auth required)</w:t>
            </w:r>
          </w:p>
        </w:tc>
      </w:tr>
    </w:tbl>
    <w:p>
      <w:pPr>
        <w:spacing w:after="120" w:before="120"/>
      </w:pPr>
      <w:r>
        <w:t xml:space="preserve"/>
      </w:r>
    </w:p>
    <w:p>
      <w:r>
        <w:br w:type="page"/>
      </w:r>
    </w:p>
    <w:p>
      <w:pPr>
        <w:pStyle w:val="Heading1"/>
        <w:pBdr>
          <w:bottom w:val="single" w:color="2E75B6" w:sz="6" w:space="1"/>
        </w:pBdr>
        <w:spacing w:after="180" w:before="360"/>
      </w:pPr>
      <w:r>
        <w:rPr>
          <w:rFonts w:ascii="Arial" w:cs="Arial" w:eastAsia="Arial" w:hAnsi="Arial"/>
          <w:b/>
          <w:bCs/>
          <w:color w:val="1F3864"/>
          <w:sz w:val="32"/>
          <w:szCs w:val="32"/>
        </w:rPr>
        <w:t xml:space="preserve">12. Self-Review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20"/>
        <w:gridCol w:w="2340"/>
      </w:tblGrid>
      <w:tr>
        <w:trPr>
          <w:tblHeader/>
        </w:trPr>
        <w:tc>
          <w:tcPr>
            <w:tcW w:type="dxa" w:w="70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Objective</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702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20"/>
                <w:szCs w:val="20"/>
              </w:rPr>
              <w:t xml:space="preserve">O1: ETL pipeline from raw AMFI data</w:t>
            </w:r>
          </w:p>
        </w:tc>
        <w:tc>
          <w:tcPr>
            <w:tcW w:type="dxa" w:w="234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20"/>
                <w:szCs w:val="20"/>
              </w:rPr>
              <w:t xml:space="preserve">DONE</w:t>
            </w:r>
          </w:p>
        </w:tc>
      </w:tr>
      <w:tr>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O2: Normalised SQL schema (star schema, 8 tables)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DONE</w:t>
            </w:r>
          </w:p>
        </w:tc>
      </w:tr>
      <w:tr>
        <w:tc>
          <w:tcPr>
            <w:tcW w:type="dxa" w:w="702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20"/>
                <w:szCs w:val="20"/>
              </w:rPr>
              <w:t xml:space="preserve">O3: EDA with 15+ charts</w:t>
            </w:r>
          </w:p>
        </w:tc>
        <w:tc>
          <w:tcPr>
            <w:tcW w:type="dxa" w:w="234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20"/>
                <w:szCs w:val="20"/>
              </w:rPr>
              <w:t xml:space="preserve">DONE</w:t>
            </w:r>
          </w:p>
        </w:tc>
      </w:tr>
      <w:tr>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O4: Performance &amp; risk metrics (Sharpe, Alpha, Beta etc)</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DONE</w:t>
            </w:r>
          </w:p>
        </w:tc>
      </w:tr>
      <w:tr>
        <w:tc>
          <w:tcPr>
            <w:tcW w:type="dxa" w:w="702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20"/>
                <w:szCs w:val="20"/>
              </w:rPr>
              <w:t xml:space="preserve">O5: Power BI dashboard (4 pages, slicers)</w:t>
            </w:r>
          </w:p>
        </w:tc>
        <w:tc>
          <w:tcPr>
            <w:tcW w:type="dxa" w:w="234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20"/>
                <w:szCs w:val="20"/>
              </w:rPr>
              <w:t xml:space="preserve">DONE</w:t>
            </w:r>
          </w:p>
        </w:tc>
      </w:tr>
      <w:tr>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O6: Investor transaction pattern analysis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DONE</w:t>
            </w:r>
          </w:p>
        </w:tc>
      </w:tr>
      <w:tr>
        <w:tc>
          <w:tcPr>
            <w:tcW w:type="dxa" w:w="702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20"/>
                <w:szCs w:val="20"/>
              </w:rPr>
              <w:t xml:space="preserve">O7: Benchmark comparison + tracking error</w:t>
            </w:r>
          </w:p>
        </w:tc>
        <w:tc>
          <w:tcPr>
            <w:tcW w:type="dxa" w:w="234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20"/>
                <w:szCs w:val="20"/>
              </w:rPr>
              <w:t xml:space="preserve">DONE</w:t>
            </w:r>
          </w:p>
        </w:tc>
      </w:tr>
      <w:tr>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O8: Final report + presentation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DONE</w:t>
            </w:r>
          </w:p>
        </w:tc>
      </w:tr>
      <w:tr>
        <w:tc>
          <w:tcPr>
            <w:tcW w:type="dxa" w:w="702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20"/>
                <w:szCs w:val="20"/>
              </w:rPr>
              <w:t xml:space="preserve">All 7 deliverables submitted</w:t>
            </w:r>
          </w:p>
        </w:tc>
        <w:tc>
          <w:tcPr>
            <w:tcW w:type="dxa" w:w="234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20"/>
                <w:szCs w:val="20"/>
              </w:rPr>
              <w:t xml:space="preserve">DONE</w:t>
            </w:r>
          </w:p>
        </w:tc>
      </w:tr>
      <w:tr>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Code runs without errors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DONE</w:t>
            </w:r>
          </w:p>
        </w:tc>
      </w:tr>
      <w:tr>
        <w:tc>
          <w:tcPr>
            <w:tcW w:type="dxa" w:w="702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20"/>
                <w:szCs w:val="20"/>
              </w:rPr>
              <w:t xml:space="preserve">No hard-coded file paths</w:t>
            </w:r>
          </w:p>
        </w:tc>
        <w:tc>
          <w:tcPr>
            <w:tcW w:type="dxa" w:w="234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20"/>
                <w:szCs w:val="20"/>
              </w:rPr>
              <w:t xml:space="preserve">DONE</w:t>
            </w:r>
          </w:p>
        </w:tc>
      </w:tr>
      <w:tr>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*.db excluded from GitHub</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DONE</w:t>
            </w:r>
          </w:p>
        </w:tc>
      </w:tr>
    </w:tbl>
    <w:p>
      <w:pPr>
        <w:spacing w:after="120" w:before="120"/>
      </w:pPr>
      <w:r>
        <w:t xml:space="preserve"/>
      </w:r>
    </w:p>
    <w:p>
      <w:pPr>
        <w:spacing w:after="80" w:before="80"/>
        <w:jc w:val="left"/>
      </w:pPr>
      <w:r>
        <w:rPr>
          <w:rFonts w:ascii="Arial" w:cs="Arial" w:eastAsia="Arial" w:hAnsi="Arial"/>
          <w:i/>
          <w:iCs/>
          <w:color w:val="888888"/>
          <w:sz w:val="22"/>
          <w:szCs w:val="22"/>
        </w:rPr>
        <w:t xml:space="preserve">Report prepared by Soham Joshi | Bluestock Fintech Capstone | June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tabs>
        <w:tab w:val="right" w:pos="9026"/>
      </w:tabs>
    </w:pPr>
    <w:r>
      <w:rPr>
        <w:rFonts w:ascii="Arial" w:cs="Arial" w:eastAsia="Arial" w:hAnsi="Arial"/>
        <w:color w:val="888888"/>
        <w:sz w:val="18"/>
        <w:szCs w:val="18"/>
      </w:rPr>
      <w:t xml:space="preserve">Soham Joshi | June 2026</w:t>
    </w:r>
    <w:r>
      <w:rPr>
        <w:rFonts w:ascii="Arial" w:cs="Arial" w:eastAsia="Arial" w:hAnsi="Arial"/>
        <w:color w:val="888888"/>
        <w:sz w:val="18"/>
        <w:szCs w:val="18"/>
      </w:rPr>
      <w:t xml:space="preserve">		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1"/>
      </w:pBdr>
      <w:jc w:val="right"/>
    </w:pPr>
    <w:r>
      <w:rPr>
        <w:rFonts w:ascii="Arial" w:cs="Arial" w:eastAsia="Arial" w:hAnsi="Arial"/>
        <w:color w:val="888888"/>
        <w:sz w:val="18"/>
        <w:szCs w:val="18"/>
      </w:rPr>
      <w:t xml:space="preserve">Bluestock Fintech | Mutual Fund Analytics Capstone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sz w:val="32"/>
      <w:szCs w:val="32"/>
    </w:rPr>
  </w:style>
  <w:style w:type="paragraph" w:styleId="Heading2">
    <w:name w:val="Heading 2"/>
    <w:basedOn w:val="Normal"/>
    <w:next w:val="Normal"/>
    <w:qFormat/>
    <w:pPr>
      <w:spacing w:after="120" w:before="24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2026-06-12T07:41:38.398Z</dcterms:created>
  <dcterms:modified xsi:type="dcterms:W3CDTF">2026-06-12T07:41:38.398Z</dcterms:modified>
</cp:coreProperties>
</file>

<file path=docProps/custom.xml><?xml version="1.0" encoding="utf-8"?>
<Properties xmlns="http://schemas.openxmlformats.org/officeDocument/2006/custom-properties" xmlns:vt="http://schemas.openxmlformats.org/officeDocument/2006/docPropsVTypes"/>
</file>