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A171B" w14:textId="77777777" w:rsidR="00480637" w:rsidRPr="00480637" w:rsidRDefault="00480637" w:rsidP="00480637">
      <w:r w:rsidRPr="00480637">
        <w:rPr>
          <w:b/>
          <w:bCs/>
        </w:rPr>
        <w:t>### BÖLÜM 1: SARI KANTARON (ST. JOHN'S WORT) ETKİLEŞİMLERİ</w:t>
      </w:r>
    </w:p>
    <w:p w14:paraId="4078038E" w14:textId="77777777" w:rsidR="00480637" w:rsidRDefault="00480637" w:rsidP="00480637">
      <w:pPr>
        <w:rPr>
          <w:b/>
          <w:bCs/>
        </w:rPr>
      </w:pPr>
    </w:p>
    <w:p w14:paraId="38F095E8" w14:textId="1F5FFCF5" w:rsidR="00480637" w:rsidRDefault="00480637" w:rsidP="00480637">
      <w:r w:rsidRPr="00480637">
        <w:rPr>
          <w:b/>
          <w:bCs/>
        </w:rPr>
        <w:t>Makale 1</w:t>
      </w:r>
      <w:r w:rsidRPr="00480637">
        <w:t xml:space="preserve"> </w:t>
      </w:r>
      <w:r w:rsidRPr="00480637">
        <w:rPr>
          <w:b/>
          <w:bCs/>
        </w:rPr>
        <w:t>Başlık:</w:t>
      </w:r>
      <w:r w:rsidRPr="00480637">
        <w:t xml:space="preserve"> Co-administration of St. John's wort and hormonal contraceptives: a systematic review </w:t>
      </w:r>
    </w:p>
    <w:p w14:paraId="07A9FD1D" w14:textId="77777777" w:rsidR="00480637" w:rsidRDefault="00480637" w:rsidP="00480637">
      <w:r w:rsidRPr="00480637">
        <w:rPr>
          <w:b/>
          <w:bCs/>
        </w:rPr>
        <w:t>PMID:</w:t>
      </w:r>
      <w:r w:rsidRPr="00480637">
        <w:t xml:space="preserve"> 27444983 </w:t>
      </w:r>
    </w:p>
    <w:p w14:paraId="3D00C6D2" w14:textId="77777777" w:rsidR="00480637" w:rsidRPr="00480637" w:rsidRDefault="00480637" w:rsidP="00480637">
      <w:pPr>
        <w:rPr>
          <w:i/>
          <w:iCs/>
        </w:rPr>
      </w:pPr>
      <w:r w:rsidRPr="00480637">
        <w:rPr>
          <w:b/>
          <w:bCs/>
        </w:rPr>
        <w:t>Metin (Abstract &amp; Conclusion):</w:t>
      </w:r>
      <w:r w:rsidRPr="00480637">
        <w:t xml:space="preserve"> </w:t>
      </w:r>
      <w:r w:rsidRPr="00480637">
        <w:rPr>
          <w:i/>
          <w:iCs/>
        </w:rPr>
        <w:t>Abstract</w:t>
      </w:r>
    </w:p>
    <w:p w14:paraId="61D84380" w14:textId="77777777" w:rsidR="00480637" w:rsidRPr="00480637" w:rsidRDefault="00480637" w:rsidP="00480637">
      <w:pPr>
        <w:rPr>
          <w:i/>
          <w:iCs/>
        </w:rPr>
      </w:pPr>
      <w:r w:rsidRPr="00480637">
        <w:rPr>
          <w:i/>
          <w:iCs/>
        </w:rPr>
        <w:t>Objectives:</w:t>
      </w:r>
    </w:p>
    <w:p w14:paraId="40A25DD7" w14:textId="77777777" w:rsidR="00480637" w:rsidRPr="00480637" w:rsidRDefault="00480637" w:rsidP="00480637">
      <w:pPr>
        <w:rPr>
          <w:i/>
          <w:iCs/>
        </w:rPr>
      </w:pPr>
      <w:r w:rsidRPr="00480637">
        <w:rPr>
          <w:i/>
          <w:iCs/>
        </w:rPr>
        <w:t>St. John’s wort (SJW) is a known strong inducer of the cytochrome P450 (CYP) 3 A4 enzyme, and both the ethinyl estradiol and progestin components of hormonal contraceptives are substrates of CYP3A4. This systematic review examined whether the co-administration of SJW and hormonal contraceptives leads to significant safety or efficacy concerns.</w:t>
      </w:r>
    </w:p>
    <w:p w14:paraId="2FF6E0DD" w14:textId="77777777" w:rsidR="00480637" w:rsidRPr="00480637" w:rsidRDefault="00480637" w:rsidP="00480637">
      <w:pPr>
        <w:rPr>
          <w:i/>
          <w:iCs/>
        </w:rPr>
      </w:pPr>
      <w:r w:rsidRPr="00480637">
        <w:rPr>
          <w:i/>
          <w:iCs/>
        </w:rPr>
        <w:t>Study design:</w:t>
      </w:r>
    </w:p>
    <w:p w14:paraId="2D1D5D5F" w14:textId="77777777" w:rsidR="00480637" w:rsidRPr="00480637" w:rsidRDefault="00480637" w:rsidP="00480637">
      <w:pPr>
        <w:rPr>
          <w:i/>
          <w:iCs/>
        </w:rPr>
      </w:pPr>
      <w:r w:rsidRPr="00480637">
        <w:rPr>
          <w:i/>
          <w:iCs/>
        </w:rPr>
        <w:t>Systematic review.</w:t>
      </w:r>
    </w:p>
    <w:p w14:paraId="5A93CC3E" w14:textId="77777777" w:rsidR="00480637" w:rsidRPr="00480637" w:rsidRDefault="00480637" w:rsidP="00480637">
      <w:pPr>
        <w:rPr>
          <w:i/>
          <w:iCs/>
        </w:rPr>
      </w:pPr>
      <w:r w:rsidRPr="00480637">
        <w:rPr>
          <w:i/>
          <w:iCs/>
        </w:rPr>
        <w:t>Methods:</w:t>
      </w:r>
    </w:p>
    <w:p w14:paraId="730F5258" w14:textId="77777777" w:rsidR="00480637" w:rsidRPr="00480637" w:rsidRDefault="00480637" w:rsidP="00480637">
      <w:pPr>
        <w:rPr>
          <w:i/>
          <w:iCs/>
        </w:rPr>
      </w:pPr>
      <w:r w:rsidRPr="00480637">
        <w:rPr>
          <w:i/>
          <w:iCs/>
        </w:rPr>
        <w:t>PubMed and Cochrane Library databases were searched for articles of any comparative study design (clinical or pharmacokinetic) that examined potential interactions between SJW and hormonal contraceptives in women of reproductive age.</w:t>
      </w:r>
    </w:p>
    <w:p w14:paraId="2DD6E26C" w14:textId="77777777" w:rsidR="00480637" w:rsidRPr="00480637" w:rsidRDefault="00480637" w:rsidP="00480637">
      <w:pPr>
        <w:rPr>
          <w:i/>
          <w:iCs/>
        </w:rPr>
      </w:pPr>
      <w:r w:rsidRPr="00480637">
        <w:rPr>
          <w:i/>
          <w:iCs/>
        </w:rPr>
        <w:t>Results:</w:t>
      </w:r>
    </w:p>
    <w:p w14:paraId="27B904CE" w14:textId="77777777" w:rsidR="00480637" w:rsidRPr="00480637" w:rsidRDefault="00480637" w:rsidP="00480637">
      <w:pPr>
        <w:rPr>
          <w:i/>
          <w:iCs/>
        </w:rPr>
      </w:pPr>
      <w:r w:rsidRPr="00480637">
        <w:rPr>
          <w:i/>
          <w:iCs/>
        </w:rPr>
        <w:t>Of the 48 identified articles, four studies met inclusion criteria and compared use of combined oral contraceptives (COCs) alone to the use of COCs co-administered with SJW. Two studies demonstrated no change in markers of ovulation, but one study demonstrated increased follicular growth and probable ovulation when COCs were co-administered with SJW. Three studies demonstrated an increased risk of breakthrough bleeding with COCs and SJW. Three studies showed changes in at least one pharmacokinetic parameter that suggested a significantly decreased exposure to hormone concentrations when COCs were co-administered with SJW. The only study that did not demonstrate any significant pharmacokinetic differences examined a SJW product containing a low amount of hypericin.</w:t>
      </w:r>
    </w:p>
    <w:p w14:paraId="7FFA15D1" w14:textId="77777777" w:rsidR="00480637" w:rsidRPr="00480637" w:rsidRDefault="00480637" w:rsidP="00480637">
      <w:pPr>
        <w:rPr>
          <w:i/>
          <w:iCs/>
        </w:rPr>
      </w:pPr>
      <w:r w:rsidRPr="00480637">
        <w:rPr>
          <w:i/>
          <w:iCs/>
        </w:rPr>
        <w:t>Conclusion:</w:t>
      </w:r>
    </w:p>
    <w:p w14:paraId="382401F7" w14:textId="77777777" w:rsidR="00480637" w:rsidRPr="00480637" w:rsidRDefault="00480637" w:rsidP="00480637">
      <w:pPr>
        <w:rPr>
          <w:i/>
          <w:iCs/>
        </w:rPr>
      </w:pPr>
      <w:r w:rsidRPr="00480637">
        <w:rPr>
          <w:i/>
          <w:iCs/>
        </w:rPr>
        <w:t>Limited evidence showing increased risk of ovulation and breakthrough bleeding raises concern for decreased contraceptive efficacy when COCs are co-administered with SJW. The pharmacokinetic evidence is mixed but suggests that SJW administration may be associated with weak to moderate induction of the metabolism of COCs.</w:t>
      </w:r>
    </w:p>
    <w:p w14:paraId="586C3121" w14:textId="77777777" w:rsidR="00480637" w:rsidRPr="00480637" w:rsidRDefault="00480637" w:rsidP="00480637">
      <w:pPr>
        <w:rPr>
          <w:i/>
          <w:iCs/>
        </w:rPr>
      </w:pPr>
      <w:r w:rsidRPr="00480637">
        <w:rPr>
          <w:b/>
          <w:bCs/>
          <w:i/>
          <w:iCs/>
        </w:rPr>
        <w:lastRenderedPageBreak/>
        <w:t>Keywords:</w:t>
      </w:r>
      <w:r w:rsidRPr="00480637">
        <w:rPr>
          <w:i/>
          <w:iCs/>
        </w:rPr>
        <w:t> St. John’s wort, Hypericum perforatum, Hormonal contraception, Drug interactions, Depression</w:t>
      </w:r>
    </w:p>
    <w:p w14:paraId="7CC21067" w14:textId="49A59501" w:rsidR="00480637" w:rsidRDefault="00480637" w:rsidP="00480637">
      <w:pPr>
        <w:rPr>
          <w:b/>
          <w:bCs/>
        </w:rPr>
      </w:pPr>
    </w:p>
    <w:p w14:paraId="57160906" w14:textId="77777777" w:rsidR="00480637" w:rsidRDefault="00480637" w:rsidP="00480637">
      <w:r w:rsidRPr="00480637">
        <w:rPr>
          <w:b/>
          <w:bCs/>
        </w:rPr>
        <w:t>Makale 2</w:t>
      </w:r>
      <w:r w:rsidRPr="00480637">
        <w:t xml:space="preserve"> </w:t>
      </w:r>
      <w:r w:rsidRPr="00480637">
        <w:rPr>
          <w:b/>
          <w:bCs/>
        </w:rPr>
        <w:t>Başlık:</w:t>
      </w:r>
      <w:r w:rsidRPr="00480637">
        <w:t xml:space="preserve"> St John's wort (Hypericum perforatum): drug interactions and clinical outcomes </w:t>
      </w:r>
    </w:p>
    <w:p w14:paraId="58F0DAC9" w14:textId="77777777" w:rsidR="00480637" w:rsidRDefault="00480637" w:rsidP="00480637">
      <w:r w:rsidRPr="00480637">
        <w:rPr>
          <w:b/>
          <w:bCs/>
        </w:rPr>
        <w:t>PMID:</w:t>
      </w:r>
      <w:r w:rsidRPr="00480637">
        <w:t xml:space="preserve"> 12392581 </w:t>
      </w:r>
    </w:p>
    <w:p w14:paraId="1588CDB3" w14:textId="77777777" w:rsidR="00480637" w:rsidRPr="00480637" w:rsidRDefault="00480637" w:rsidP="00480637">
      <w:pPr>
        <w:rPr>
          <w:i/>
          <w:iCs/>
        </w:rPr>
      </w:pPr>
      <w:r w:rsidRPr="00480637">
        <w:rPr>
          <w:b/>
          <w:bCs/>
        </w:rPr>
        <w:t>Metin (Abstract &amp; Conclusion):</w:t>
      </w:r>
      <w:r w:rsidRPr="00480637">
        <w:t xml:space="preserve"> </w:t>
      </w:r>
      <w:r w:rsidRPr="00480637">
        <w:rPr>
          <w:i/>
          <w:iCs/>
        </w:rPr>
        <w:t>(Abstract</w:t>
      </w:r>
    </w:p>
    <w:p w14:paraId="3C480AE5" w14:textId="77777777" w:rsidR="00480637" w:rsidRPr="00480637" w:rsidRDefault="00480637" w:rsidP="00480637">
      <w:pPr>
        <w:rPr>
          <w:i/>
          <w:iCs/>
        </w:rPr>
      </w:pPr>
      <w:r w:rsidRPr="00480637">
        <w:rPr>
          <w:i/>
          <w:iCs/>
        </w:rPr>
        <w:t>Aims</w:t>
      </w:r>
    </w:p>
    <w:p w14:paraId="32D6B5E1" w14:textId="77777777" w:rsidR="00480637" w:rsidRPr="00480637" w:rsidRDefault="00480637" w:rsidP="00480637">
      <w:pPr>
        <w:rPr>
          <w:i/>
          <w:iCs/>
        </w:rPr>
      </w:pPr>
      <w:r w:rsidRPr="00480637">
        <w:rPr>
          <w:i/>
          <w:iCs/>
        </w:rPr>
        <w:t>The aim of this work is to identify the medicines which interact with the herbal remedy St John's wort (SJW), and the mechanisms responsible.</w:t>
      </w:r>
    </w:p>
    <w:p w14:paraId="720C4589" w14:textId="77777777" w:rsidR="00480637" w:rsidRPr="00480637" w:rsidRDefault="00480637" w:rsidP="00480637">
      <w:pPr>
        <w:rPr>
          <w:i/>
          <w:iCs/>
        </w:rPr>
      </w:pPr>
      <w:r w:rsidRPr="00480637">
        <w:rPr>
          <w:i/>
          <w:iCs/>
        </w:rPr>
        <w:t>Methods</w:t>
      </w:r>
    </w:p>
    <w:p w14:paraId="5BD49FF0" w14:textId="77777777" w:rsidR="00480637" w:rsidRPr="00480637" w:rsidRDefault="00480637" w:rsidP="00480637">
      <w:pPr>
        <w:rPr>
          <w:i/>
          <w:iCs/>
        </w:rPr>
      </w:pPr>
      <w:r w:rsidRPr="00480637">
        <w:rPr>
          <w:i/>
          <w:iCs/>
        </w:rPr>
        <w:t>A systematic review of all the available evidence, including worldwide published literature and spontaneous case reports provided by healthcare professionals and regulatory authorities within Europe has been undertaken.</w:t>
      </w:r>
    </w:p>
    <w:p w14:paraId="0708AE1B" w14:textId="77777777" w:rsidR="00480637" w:rsidRPr="00480637" w:rsidRDefault="00480637" w:rsidP="00480637">
      <w:pPr>
        <w:rPr>
          <w:i/>
          <w:iCs/>
        </w:rPr>
      </w:pPr>
      <w:r w:rsidRPr="00480637">
        <w:rPr>
          <w:i/>
          <w:iCs/>
        </w:rPr>
        <w:t>Results</w:t>
      </w:r>
    </w:p>
    <w:p w14:paraId="730BF535" w14:textId="77777777" w:rsidR="00480637" w:rsidRPr="00480637" w:rsidRDefault="00480637" w:rsidP="00480637">
      <w:pPr>
        <w:rPr>
          <w:i/>
          <w:iCs/>
        </w:rPr>
      </w:pPr>
      <w:r w:rsidRPr="00480637">
        <w:rPr>
          <w:i/>
          <w:iCs/>
        </w:rPr>
        <w:t>A number of clinically significant interactions have been identified with prescribed medicines including warfarin, phenprocoumon, cyclosporin, HIV protease inhibitors, theophylline, digoxin and oral contraceptives resulting in a decrease in concentration or effect of the medicines. These interactions are probably due to the induction of cytochrome P450 isoenzymes CYP3A4, CYP2C9, CYP1A2 and the transport protein P-glycoprotein by constituent(s) in SJW. The degree of induction is unpredictable due to factors such as the variable quality and quantity of constituent(s) in SJW preparations. In addition, possible pharmacodynamic interactions with selective serotonin re-uptake inhibitors and serotonin (5-HT</w:t>
      </w:r>
      <w:r w:rsidRPr="00480637">
        <w:rPr>
          <w:i/>
          <w:iCs/>
          <w:vertAlign w:val="subscript"/>
        </w:rPr>
        <w:t>1d</w:t>
      </w:r>
      <w:r w:rsidRPr="00480637">
        <w:rPr>
          <w:i/>
          <w:iCs/>
        </w:rPr>
        <w:t>) receptor-agonists such as triptans used to treat migraine were identified. These interactions are associated with an increased risk of adverse reactions.</w:t>
      </w:r>
    </w:p>
    <w:p w14:paraId="2CCAE352" w14:textId="77777777" w:rsidR="00480637" w:rsidRPr="00480637" w:rsidRDefault="00480637" w:rsidP="00480637">
      <w:pPr>
        <w:rPr>
          <w:i/>
          <w:iCs/>
        </w:rPr>
      </w:pPr>
      <w:r w:rsidRPr="00480637">
        <w:rPr>
          <w:i/>
          <w:iCs/>
        </w:rPr>
        <w:t>Conclusions</w:t>
      </w:r>
    </w:p>
    <w:p w14:paraId="7E7F9E5F" w14:textId="77777777" w:rsidR="00480637" w:rsidRPr="00480637" w:rsidRDefault="00480637" w:rsidP="00480637">
      <w:pPr>
        <w:rPr>
          <w:i/>
          <w:iCs/>
        </w:rPr>
      </w:pPr>
      <w:r w:rsidRPr="00480637">
        <w:rPr>
          <w:i/>
          <w:iCs/>
        </w:rPr>
        <w:t>In Sweden and the UK the potential risks to patients were judged to be significant and therefore information about the interactions was provided to health care professionals and patients. The product information of the licensed medicines involved has been amended to reflect these newly identified interactions and SJW preparations have been voluntarily labelled with appropriate warnings.</w:t>
      </w:r>
    </w:p>
    <w:p w14:paraId="00EB9DB3" w14:textId="77777777" w:rsidR="00480637" w:rsidRPr="00480637" w:rsidRDefault="00480637" w:rsidP="00480637">
      <w:pPr>
        <w:rPr>
          <w:i/>
          <w:iCs/>
        </w:rPr>
      </w:pPr>
      <w:r w:rsidRPr="00480637">
        <w:rPr>
          <w:b/>
          <w:bCs/>
          <w:i/>
          <w:iCs/>
        </w:rPr>
        <w:t>Keywords:</w:t>
      </w:r>
      <w:r w:rsidRPr="00480637">
        <w:rPr>
          <w:i/>
          <w:iCs/>
        </w:rPr>
        <w:t> hypericin, Hypericum perforatum, induction of drug-metabolism, interactions, St John's wort</w:t>
      </w:r>
    </w:p>
    <w:p w14:paraId="26B56AF3" w14:textId="6A0D80D1" w:rsidR="00480637" w:rsidRDefault="00480637" w:rsidP="00480637">
      <w:pPr>
        <w:rPr>
          <w:b/>
          <w:bCs/>
        </w:rPr>
      </w:pPr>
    </w:p>
    <w:p w14:paraId="1C0EAA4C" w14:textId="2B062B3C" w:rsidR="00480637" w:rsidRPr="00480637" w:rsidRDefault="00480637" w:rsidP="00480637">
      <w:r w:rsidRPr="00480637">
        <w:rPr>
          <w:b/>
          <w:bCs/>
        </w:rPr>
        <w:t>Sıfır Riskli Alternatif:</w:t>
      </w:r>
      <w:r w:rsidRPr="00480637">
        <w:t xml:space="preserve"> Papatya (Chamomile) veya Lavanta Aromaterapisi.</w:t>
      </w:r>
    </w:p>
    <w:p w14:paraId="4D412901" w14:textId="77777777" w:rsidR="00D0670A" w:rsidRDefault="00D0670A"/>
    <w:p w14:paraId="23C3EC9D" w14:textId="77777777" w:rsidR="008D33B4" w:rsidRDefault="008D33B4"/>
    <w:p w14:paraId="357C9C06" w14:textId="77777777" w:rsidR="007E5FB9" w:rsidRDefault="007E5FB9" w:rsidP="007E5FB9">
      <w:pPr>
        <w:rPr>
          <w:b/>
          <w:bCs/>
        </w:rPr>
      </w:pPr>
      <w:r w:rsidRPr="007E5FB9">
        <w:rPr>
          <w:b/>
          <w:bCs/>
        </w:rPr>
        <w:t>### BÖLÜM 2: GİNKGO BİLOBA ETKİLEŞİMLERİ Mekanizma: Farmakodinamik sinerji (Kanama riskini artırır).</w:t>
      </w:r>
    </w:p>
    <w:p w14:paraId="0F904E1B" w14:textId="77777777" w:rsidR="007E5FB9" w:rsidRPr="007E5FB9" w:rsidRDefault="007E5FB9" w:rsidP="007E5FB9">
      <w:pPr>
        <w:rPr>
          <w:b/>
          <w:bCs/>
        </w:rPr>
      </w:pPr>
    </w:p>
    <w:p w14:paraId="1F5403D2" w14:textId="77777777" w:rsidR="007E5FB9" w:rsidRPr="007E5FB9" w:rsidRDefault="007E5FB9" w:rsidP="007E5FB9">
      <w:pPr>
        <w:rPr>
          <w:b/>
          <w:bCs/>
        </w:rPr>
      </w:pPr>
      <w:r w:rsidRPr="007E5FB9">
        <w:rPr>
          <w:b/>
          <w:bCs/>
        </w:rPr>
        <w:t>Makale 1 Warfarin and food, herbal or dietary supplement interactions: A systematic review</w:t>
      </w:r>
    </w:p>
    <w:p w14:paraId="087A55B2" w14:textId="752363BB" w:rsidR="007E5FB9" w:rsidRDefault="007E5FB9" w:rsidP="007E5FB9"/>
    <w:p w14:paraId="6DDD2C5B" w14:textId="77777777" w:rsidR="007E5FB9" w:rsidRPr="007E5FB9" w:rsidRDefault="007E5FB9" w:rsidP="007E5FB9">
      <w:r w:rsidRPr="007E5FB9">
        <w:t>PMID: 32478963</w:t>
      </w:r>
    </w:p>
    <w:p w14:paraId="76AC0966" w14:textId="6A36F8D9" w:rsidR="007E5FB9" w:rsidRPr="007E5FB9" w:rsidRDefault="007E5FB9" w:rsidP="007E5FB9">
      <w:pPr>
        <w:rPr>
          <w:b/>
          <w:bCs/>
        </w:rPr>
      </w:pPr>
      <w:r>
        <w:t>Metin:</w:t>
      </w:r>
      <w:r w:rsidRPr="007E5FB9">
        <w:rPr>
          <w:rFonts w:ascii="Open Sans" w:eastAsia="Times New Roman" w:hAnsi="Open Sans" w:cs="Open Sans"/>
          <w:b/>
          <w:bCs/>
          <w:color w:val="313131"/>
          <w:kern w:val="0"/>
          <w:sz w:val="36"/>
          <w:szCs w:val="36"/>
          <w:lang w:eastAsia="tr-TR"/>
          <w14:ligatures w14:val="none"/>
        </w:rPr>
        <w:t xml:space="preserve"> </w:t>
      </w:r>
      <w:r w:rsidRPr="007E5FB9">
        <w:rPr>
          <w:b/>
          <w:bCs/>
        </w:rPr>
        <w:t>Abstract</w:t>
      </w:r>
    </w:p>
    <w:p w14:paraId="40F19454" w14:textId="77777777" w:rsidR="007E5FB9" w:rsidRPr="007E5FB9" w:rsidRDefault="007E5FB9" w:rsidP="007E5FB9">
      <w:r w:rsidRPr="007E5FB9">
        <w:t>Aims</w:t>
      </w:r>
    </w:p>
    <w:p w14:paraId="0ED4212D" w14:textId="77777777" w:rsidR="007E5FB9" w:rsidRPr="007E5FB9" w:rsidRDefault="007E5FB9" w:rsidP="007E5FB9">
      <w:r w:rsidRPr="007E5FB9">
        <w:t>To present an updated overview on the safety of concurrent use of food, herbal or dietary supplement and warfarin.</w:t>
      </w:r>
    </w:p>
    <w:p w14:paraId="7B0979D6" w14:textId="77777777" w:rsidR="007E5FB9" w:rsidRPr="007E5FB9" w:rsidRDefault="007E5FB9" w:rsidP="007E5FB9">
      <w:r w:rsidRPr="007E5FB9">
        <w:t>Methods</w:t>
      </w:r>
    </w:p>
    <w:p w14:paraId="3593F350" w14:textId="77777777" w:rsidR="007E5FB9" w:rsidRPr="007E5FB9" w:rsidRDefault="007E5FB9" w:rsidP="007E5FB9">
      <w:r w:rsidRPr="007E5FB9">
        <w:t>A systematic literature review was performed on 5 databases from inception up to 31 December 2019. These interactions were classified depending on the likelihood of interaction and supporting evidences.</w:t>
      </w:r>
    </w:p>
    <w:p w14:paraId="07EA258C" w14:textId="77777777" w:rsidR="007E5FB9" w:rsidRPr="007E5FB9" w:rsidRDefault="007E5FB9" w:rsidP="007E5FB9">
      <w:r w:rsidRPr="007E5FB9">
        <w:t>Results</w:t>
      </w:r>
    </w:p>
    <w:p w14:paraId="3CAF2B66" w14:textId="77777777" w:rsidR="007E5FB9" w:rsidRPr="007E5FB9" w:rsidRDefault="007E5FB9" w:rsidP="007E5FB9">
      <w:r w:rsidRPr="007E5FB9">
        <w:t>A total of 149 articles describing 78 herbs, food or dietary supplements were reported to interact with warfarin. These reports described potentiation with 45 (57.7%) herbs, food or dietary supplements while 23 (29.5%) reported inhibition and 10 (12.8%) reported limited impact on warfarin pharmacokinetics and pharmacodynamics. Twenty unique herb and dietary supplements also reported to result in minor bleeding events, such as purpura and gum bleeding as well as major events such as intracranial bleeding that led to death.</w:t>
      </w:r>
    </w:p>
    <w:p w14:paraId="2720C318" w14:textId="77777777" w:rsidR="007E5FB9" w:rsidRPr="007E5FB9" w:rsidRDefault="007E5FB9" w:rsidP="007E5FB9">
      <w:r w:rsidRPr="007E5FB9">
        <w:t>Conclusion</w:t>
      </w:r>
    </w:p>
    <w:p w14:paraId="2EE93DCC" w14:textId="77777777" w:rsidR="007E5FB9" w:rsidRPr="007E5FB9" w:rsidRDefault="007E5FB9" w:rsidP="007E5FB9">
      <w:r w:rsidRPr="007E5FB9">
        <w:t>While most food, herbs and supplements can be safely taken in moderation, healthcare professionals should be aware of the increased risk of bleeding when taking several food and herbs. These include Chinese wolfberry, chamomile tea, cannabis, cranberry, chitosan, green tea, </w:t>
      </w:r>
      <w:r w:rsidRPr="007E5FB9">
        <w:rPr>
          <w:i/>
          <w:iCs/>
        </w:rPr>
        <w:t>Ginkgo biloba</w:t>
      </w:r>
      <w:r w:rsidRPr="007E5FB9">
        <w:t xml:space="preserve">, ginger, spinach, St. John's Wort, sushi and smoking </w:t>
      </w:r>
      <w:r w:rsidRPr="007E5FB9">
        <w:lastRenderedPageBreak/>
        <w:t>tobacco. Patients should be counselled to continue to seek advice from their healthcare professionals when starting any new herbs, food or supplement.</w:t>
      </w:r>
    </w:p>
    <w:p w14:paraId="6F8DC417" w14:textId="44F478ED" w:rsidR="007E5FB9" w:rsidRPr="007E5FB9" w:rsidRDefault="007E5FB9" w:rsidP="007E5FB9"/>
    <w:p w14:paraId="5ECC75D0" w14:textId="77777777" w:rsidR="007E5FB9" w:rsidRPr="007E5FB9" w:rsidRDefault="007E5FB9" w:rsidP="007E5FB9">
      <w:pPr>
        <w:rPr>
          <w:b/>
          <w:bCs/>
        </w:rPr>
      </w:pPr>
    </w:p>
    <w:p w14:paraId="00CB5B3F" w14:textId="77777777" w:rsidR="007E5FB9" w:rsidRPr="007E5FB9" w:rsidRDefault="007E5FB9" w:rsidP="007E5FB9">
      <w:pPr>
        <w:rPr>
          <w:b/>
          <w:bCs/>
        </w:rPr>
      </w:pPr>
      <w:r w:rsidRPr="007E5FB9">
        <w:rPr>
          <w:b/>
          <w:bCs/>
        </w:rPr>
        <w:t>Makale 2 A systematic review of the pharmacokinetic and pharmacodynamic interactions of herbal medicine with warfarin</w:t>
      </w:r>
    </w:p>
    <w:p w14:paraId="1A898260" w14:textId="77777777" w:rsidR="007E5FB9" w:rsidRPr="007E5FB9" w:rsidRDefault="007E5FB9" w:rsidP="007E5FB9">
      <w:pPr>
        <w:rPr>
          <w:b/>
          <w:bCs/>
          <w:i/>
          <w:iCs/>
        </w:rPr>
      </w:pPr>
      <w:r w:rsidRPr="007E5FB9">
        <w:rPr>
          <w:b/>
          <w:bCs/>
          <w:i/>
          <w:iCs/>
        </w:rPr>
        <w:t>PMID: 28797065</w:t>
      </w:r>
    </w:p>
    <w:p w14:paraId="0267A084" w14:textId="77777777" w:rsidR="007E5FB9" w:rsidRPr="007E5FB9" w:rsidRDefault="007E5FB9" w:rsidP="007E5FB9">
      <w:r>
        <w:rPr>
          <w:b/>
          <w:bCs/>
          <w:i/>
          <w:iCs/>
        </w:rPr>
        <w:t xml:space="preserve">Makale: </w:t>
      </w:r>
      <w:r w:rsidRPr="007E5FB9">
        <w:t>Abstract</w:t>
      </w:r>
    </w:p>
    <w:p w14:paraId="5C85913D" w14:textId="77777777" w:rsidR="007E5FB9" w:rsidRPr="007E5FB9" w:rsidRDefault="007E5FB9" w:rsidP="007E5FB9">
      <w:r w:rsidRPr="007E5FB9">
        <w:t>Objectives: The aim of this study was to systematically review data regarding pharmacokinetic (PK)-pharmacodynamic (PD) parameters from randomized controlled trials relating to interactions between herbal medicines and warfarin.</w:t>
      </w:r>
    </w:p>
    <w:p w14:paraId="0B21AE3A" w14:textId="77777777" w:rsidR="007E5FB9" w:rsidRPr="007E5FB9" w:rsidRDefault="007E5FB9" w:rsidP="007E5FB9">
      <w:r w:rsidRPr="007E5FB9">
        <w:t>Methods: Three electronic databases were searched to identify relevant trials. Two reviewers independently performed the study selection and data extraction. The risk of bias and reporting quality were also assessed independently by two reviewers using the Cochrane risk of bias tool and the consolidated standards of reporting trials (CONSORT). Outcomes were measured for all reported PK-PD parameters and adverse events.</w:t>
      </w:r>
    </w:p>
    <w:p w14:paraId="2625A21E" w14:textId="77777777" w:rsidR="007E5FB9" w:rsidRPr="007E5FB9" w:rsidRDefault="007E5FB9" w:rsidP="007E5FB9">
      <w:r w:rsidRPr="007E5FB9">
        <w:t>Results: Nine randomized controlled trials met our inclusion criteria. Most of the included studies were unclear regarding the risk of bias and had a low quality of methodology. Using CONSORT, the reporting percentages for the articles ranged from 36.5% to 61.5% and the mean percentage for all articles was 45.6%. St John's wort and echinacea affected the PK parameters of warfarin. Ginseng, ginger, garlic, and cranberry had no significant effect on the PK parameters. American ginseng altered the PD parameters of warfarin. St John's wort, ginseng, Korea red ginseng, ginkgo, ginger, garlic, aged garlic, and echincea did not significantly alter the PD parameters. Studies of ginkgo and cranberry showed conflicting results on the PK parameters and PD parameters, respectively. The incidence of adverse events in all trials was low and no major adverse events were reported.</w:t>
      </w:r>
    </w:p>
    <w:p w14:paraId="0CC91179" w14:textId="77777777" w:rsidR="007E5FB9" w:rsidRPr="007E5FB9" w:rsidRDefault="007E5FB9" w:rsidP="007E5FB9">
      <w:r w:rsidRPr="007E5FB9">
        <w:t>Conclusions: It was difficult to determine whether ten herbal medicines had significant effects on the PK-PD parameters of warfarin. Low quality of evidence, different compounds within and different compositions of the herbs, and methodological limitations of the crossover study, which is a clinical study in which subjects receive a sequence of different interventions, made it difficult to form conclusions. Additional studies that remedy these vulnerabilities are necessary to verify these results.</w:t>
      </w:r>
    </w:p>
    <w:p w14:paraId="58363407" w14:textId="18B007C1" w:rsidR="007E5FB9" w:rsidRPr="007E5FB9" w:rsidRDefault="007E5FB9" w:rsidP="007E5FB9"/>
    <w:p w14:paraId="316190D4" w14:textId="77777777" w:rsidR="007E5FB9" w:rsidRPr="007E5FB9" w:rsidRDefault="007E5FB9" w:rsidP="007E5FB9">
      <w:pPr>
        <w:rPr>
          <w:b/>
          <w:bCs/>
        </w:rPr>
      </w:pPr>
    </w:p>
    <w:p w14:paraId="3276CA62" w14:textId="77777777" w:rsidR="007E5FB9" w:rsidRDefault="007E5FB9" w:rsidP="007E5FB9">
      <w:pPr>
        <w:rPr>
          <w:b/>
          <w:bCs/>
        </w:rPr>
      </w:pPr>
      <w:r w:rsidRPr="007E5FB9">
        <w:rPr>
          <w:b/>
          <w:bCs/>
        </w:rPr>
        <w:lastRenderedPageBreak/>
        <w:t>Sıfır Riskli Alternatif: Hafıza ve yorgunluk için kanama riski yaratmayan Biberiye (Rosemary) ekstresi veya B12 takviyesi.</w:t>
      </w:r>
    </w:p>
    <w:p w14:paraId="01D91AD0" w14:textId="77777777" w:rsidR="007E5FB9" w:rsidRDefault="007E5FB9" w:rsidP="007E5FB9">
      <w:pPr>
        <w:rPr>
          <w:b/>
          <w:bCs/>
        </w:rPr>
      </w:pPr>
    </w:p>
    <w:p w14:paraId="55E6A30F" w14:textId="77777777" w:rsidR="007E5FB9" w:rsidRDefault="007E5FB9" w:rsidP="007E5FB9">
      <w:pPr>
        <w:rPr>
          <w:b/>
          <w:bCs/>
        </w:rPr>
      </w:pPr>
    </w:p>
    <w:p w14:paraId="6EA5A4EE" w14:textId="77777777" w:rsidR="007E5FB9" w:rsidRDefault="007E5FB9" w:rsidP="007E5FB9">
      <w:pPr>
        <w:rPr>
          <w:b/>
          <w:bCs/>
        </w:rPr>
      </w:pPr>
      <w:r w:rsidRPr="007E5FB9">
        <w:rPr>
          <w:b/>
          <w:bCs/>
        </w:rPr>
        <w:t>### BÖLÜM 3: GREYFURT (GRAPEFRUIT) ETKİLEŞİMLERİ Mekanizma: CYP3A4 Enzim İnhibisyonu (İlacın kanda birikip kas yıkımı/böbrek yetmezliği yapması).</w:t>
      </w:r>
    </w:p>
    <w:p w14:paraId="1BDA1FAD" w14:textId="77777777" w:rsidR="007E5FB9" w:rsidRPr="007E5FB9" w:rsidRDefault="007E5FB9" w:rsidP="007E5FB9">
      <w:pPr>
        <w:rPr>
          <w:b/>
          <w:bCs/>
        </w:rPr>
      </w:pPr>
    </w:p>
    <w:p w14:paraId="11ADE959" w14:textId="77777777" w:rsidR="00CB0288" w:rsidRPr="00CB0288" w:rsidRDefault="007E5FB9" w:rsidP="00CB0288">
      <w:pPr>
        <w:rPr>
          <w:b/>
          <w:bCs/>
        </w:rPr>
      </w:pPr>
      <w:r w:rsidRPr="007E5FB9">
        <w:rPr>
          <w:b/>
          <w:bCs/>
        </w:rPr>
        <w:t xml:space="preserve">Makale 1 </w:t>
      </w:r>
      <w:r w:rsidR="00CB0288" w:rsidRPr="00CB0288">
        <w:rPr>
          <w:b/>
          <w:bCs/>
        </w:rPr>
        <w:t>Grapefruit Juice and Statins</w:t>
      </w:r>
    </w:p>
    <w:p w14:paraId="3DC40B46" w14:textId="57DDA537" w:rsidR="007E5FB9" w:rsidRDefault="007E5FB9" w:rsidP="007E5FB9">
      <w:pPr>
        <w:rPr>
          <w:b/>
          <w:bCs/>
        </w:rPr>
      </w:pPr>
    </w:p>
    <w:p w14:paraId="0F90B76E" w14:textId="77777777" w:rsidR="00CB0288" w:rsidRPr="00CB0288" w:rsidRDefault="007E5FB9" w:rsidP="00CB0288">
      <w:pPr>
        <w:rPr>
          <w:b/>
          <w:bCs/>
        </w:rPr>
      </w:pPr>
      <w:r w:rsidRPr="007E5FB9">
        <w:rPr>
          <w:b/>
          <w:bCs/>
        </w:rPr>
        <w:t xml:space="preserve">PMID: </w:t>
      </w:r>
      <w:r w:rsidR="00CB0288" w:rsidRPr="00CB0288">
        <w:rPr>
          <w:b/>
          <w:bCs/>
        </w:rPr>
        <w:t>26299317</w:t>
      </w:r>
    </w:p>
    <w:p w14:paraId="563E9C9A" w14:textId="3DD9AE8F" w:rsidR="007E5FB9" w:rsidRDefault="007E5FB9" w:rsidP="007E5FB9">
      <w:pPr>
        <w:rPr>
          <w:b/>
          <w:bCs/>
        </w:rPr>
      </w:pPr>
      <w:r w:rsidRPr="007E5FB9">
        <w:rPr>
          <w:b/>
          <w:bCs/>
        </w:rPr>
        <w:t xml:space="preserve"> </w:t>
      </w:r>
    </w:p>
    <w:p w14:paraId="7DC1780B" w14:textId="77777777" w:rsidR="00CB0288" w:rsidRPr="00CB0288" w:rsidRDefault="007E5FB9" w:rsidP="00CB0288">
      <w:r w:rsidRPr="007E5FB9">
        <w:rPr>
          <w:b/>
          <w:bCs/>
        </w:rPr>
        <w:t xml:space="preserve">Metin: </w:t>
      </w:r>
      <w:r w:rsidR="00CB0288" w:rsidRPr="00CB0288">
        <w:t>Abstract</w:t>
      </w:r>
    </w:p>
    <w:p w14:paraId="022743AC" w14:textId="77777777" w:rsidR="00CB0288" w:rsidRPr="00CB0288" w:rsidRDefault="00CB0288" w:rsidP="00CB0288">
      <w:r w:rsidRPr="00CB0288">
        <w:t>We determined the validity of current medical advice to avoid grapefruit juice consumption while taking 3 widely used statins. A daily glass of grapefruit juice increases blood levels of simvastatin and lovastatin by about 260% if taken at the same time (about 90% if taken 12 hours apart), and atorvastatin by about 80% (whenever taken). Simvastatin 40 mg, lovastatin 40 mg, and atorvastatin 10 mg daily reduce low-density lipoprotein (LDL) cholesterol levels in a 60-year-old man with an LDL cholesterol of 4.8 mmol/L by 37%, reducing ischemic heart disease risk by 61%. When simvastatin or lovastatin are taken at the same time as grapefruit juice, the estimated reduction in LDL cholesterol is 48%, and in heart disease is 70%. If the juice is taken 12 hours before these statins, the reductions are, respectively, 43% and 66%, and for atorvastatin, 42% and 66%. The increased rhabdomyolysis risk from grapefruit juice consumption due to the increased effective statin dose is minimal compared with the greater effect in preventing heart disease. Grapefruit juice should not be contraindicated in people taking statins.</w:t>
      </w:r>
    </w:p>
    <w:p w14:paraId="375BD2C2" w14:textId="77777777" w:rsidR="00CB0288" w:rsidRPr="00CB0288" w:rsidRDefault="00CB0288" w:rsidP="00CB0288">
      <w:r w:rsidRPr="00CB0288">
        <w:t>Keywords: Drug interaction; Effect enhancer; Grapefruit juice; Ischemic heart disease; LDL cholesterol; Statins.</w:t>
      </w:r>
    </w:p>
    <w:p w14:paraId="1C70BE36" w14:textId="77777777" w:rsidR="007E5FB9" w:rsidRPr="007E5FB9" w:rsidRDefault="007E5FB9" w:rsidP="007E5FB9">
      <w:pPr>
        <w:rPr>
          <w:b/>
          <w:bCs/>
        </w:rPr>
      </w:pPr>
    </w:p>
    <w:p w14:paraId="7D94CC26" w14:textId="77777777" w:rsidR="00CB0288" w:rsidRDefault="00CB0288" w:rsidP="00CB0288">
      <w:pPr>
        <w:rPr>
          <w:b/>
          <w:bCs/>
        </w:rPr>
      </w:pPr>
    </w:p>
    <w:p w14:paraId="5F3E19D9" w14:textId="77777777" w:rsidR="00CB0288" w:rsidRDefault="00CB0288" w:rsidP="00CB0288">
      <w:pPr>
        <w:rPr>
          <w:b/>
          <w:bCs/>
        </w:rPr>
      </w:pPr>
    </w:p>
    <w:p w14:paraId="0224CD1C" w14:textId="77777777" w:rsidR="00CB0288" w:rsidRDefault="00CB0288" w:rsidP="00CB0288">
      <w:pPr>
        <w:rPr>
          <w:b/>
          <w:bCs/>
        </w:rPr>
      </w:pPr>
    </w:p>
    <w:p w14:paraId="5109D2A6" w14:textId="6C7290AA" w:rsidR="00CB0288" w:rsidRPr="00CB0288" w:rsidRDefault="007E5FB9" w:rsidP="00CB0288">
      <w:pPr>
        <w:rPr>
          <w:b/>
          <w:bCs/>
        </w:rPr>
      </w:pPr>
      <w:r w:rsidRPr="007E5FB9">
        <w:rPr>
          <w:b/>
          <w:bCs/>
        </w:rPr>
        <w:lastRenderedPageBreak/>
        <w:t xml:space="preserve">Makale 2 </w:t>
      </w:r>
      <w:r w:rsidR="00CB0288" w:rsidRPr="00CB0288">
        <w:rPr>
          <w:b/>
          <w:bCs/>
        </w:rPr>
        <w:t>Pharmacokinetic interactions of fruit juices with antihypertensive drugs in humans: A systematic review and meta-analysis</w:t>
      </w:r>
    </w:p>
    <w:p w14:paraId="239A6496" w14:textId="00E31DB3" w:rsidR="007E5FB9" w:rsidRDefault="007E5FB9" w:rsidP="007E5FB9">
      <w:pPr>
        <w:rPr>
          <w:b/>
          <w:bCs/>
        </w:rPr>
      </w:pPr>
    </w:p>
    <w:p w14:paraId="299A0701" w14:textId="0A1AFED3" w:rsidR="00CB0288" w:rsidRPr="00CB0288" w:rsidRDefault="007E5FB9" w:rsidP="00CB0288">
      <w:pPr>
        <w:rPr>
          <w:b/>
          <w:bCs/>
        </w:rPr>
      </w:pPr>
      <w:r w:rsidRPr="007E5FB9">
        <w:rPr>
          <w:b/>
          <w:bCs/>
        </w:rPr>
        <w:t>PMID:</w:t>
      </w:r>
      <w:r w:rsidR="00CB0288" w:rsidRPr="00CB0288">
        <w:rPr>
          <w:rFonts w:ascii="Segoe UI" w:eastAsia="Times New Roman" w:hAnsi="Segoe UI" w:cs="Segoe UI"/>
          <w:color w:val="212121"/>
          <w:kern w:val="0"/>
          <w:lang w:eastAsia="tr-TR"/>
          <w14:ligatures w14:val="none"/>
        </w:rPr>
        <w:t xml:space="preserve"> </w:t>
      </w:r>
      <w:r w:rsidR="00CB0288" w:rsidRPr="00CB0288">
        <w:rPr>
          <w:b/>
          <w:bCs/>
        </w:rPr>
        <w:t>4012240</w:t>
      </w:r>
    </w:p>
    <w:p w14:paraId="3E82786F" w14:textId="150B7E3E" w:rsidR="007E5FB9" w:rsidRDefault="007E5FB9" w:rsidP="007E5FB9">
      <w:pPr>
        <w:rPr>
          <w:b/>
          <w:bCs/>
        </w:rPr>
      </w:pPr>
    </w:p>
    <w:p w14:paraId="60463600" w14:textId="77777777" w:rsidR="00CB0288" w:rsidRPr="00A912F8" w:rsidRDefault="007E5FB9" w:rsidP="00CB0288">
      <w:r w:rsidRPr="007E5FB9">
        <w:rPr>
          <w:b/>
          <w:bCs/>
        </w:rPr>
        <w:t>Metin</w:t>
      </w:r>
      <w:r w:rsidRPr="007E5FB9">
        <w:t xml:space="preserve">: </w:t>
      </w:r>
      <w:r w:rsidR="00CB0288" w:rsidRPr="00A912F8">
        <w:t>Abstract</w:t>
      </w:r>
    </w:p>
    <w:p w14:paraId="00928003" w14:textId="77777777" w:rsidR="00CB0288" w:rsidRPr="00CB0288" w:rsidRDefault="00CB0288" w:rsidP="00CB0288">
      <w:r w:rsidRPr="00CB0288">
        <w:t>Introduction: Fruit juice-antihypertensive drug interactions can lead to subtherapeutic or supratherapeutic outcomes. This systematic review and meta-analysis assesses such interactions and their potential clinical relevance.</w:t>
      </w:r>
    </w:p>
    <w:p w14:paraId="0F45A226" w14:textId="77777777" w:rsidR="00CB0288" w:rsidRPr="00CB0288" w:rsidRDefault="00CB0288" w:rsidP="00CB0288">
      <w:r w:rsidRPr="00CB0288">
        <w:t>Methods: PubMed, Scopus, and Science Direct databases were searched from their inception through June 2024. Eligible studies were those that investigated the effects of fruit juice on the pharmacokinetics of antihypertensive drugs. I</w:t>
      </w:r>
      <w:r w:rsidRPr="00CB0288">
        <w:rPr>
          <w:vertAlign w:val="superscript"/>
        </w:rPr>
        <w:t>2</w:t>
      </w:r>
      <w:r w:rsidRPr="00CB0288">
        <w:t> was used to determine heterogeneity among studies, and a random effect model was employed for meta-analysis. This review adhered to PRISMA guidelines and was registered in PROSPERO (CRD42022340159).</w:t>
      </w:r>
    </w:p>
    <w:p w14:paraId="7D6A41FA" w14:textId="77777777" w:rsidR="00CB0288" w:rsidRPr="00CB0288" w:rsidRDefault="00CB0288" w:rsidP="00CB0288">
      <w:r w:rsidRPr="00CB0288">
        <w:t>Results: Fifty-one studies were included. Most of them were open-label crossover trials. Grapefruit juice (GFJ), an inhibitor of organic-anion-transporting polypeptide (OATP) transporters and cytochrome P450 (CYP) 3A4, significantly decreased the AUC and C</w:t>
      </w:r>
      <w:r w:rsidRPr="00CB0288">
        <w:rPr>
          <w:vertAlign w:val="subscript"/>
        </w:rPr>
        <w:t>max</w:t>
      </w:r>
      <w:r w:rsidRPr="00CB0288">
        <w:t> of aliskiren and celiprolol by approximately 80-90 %. Conversely, the AUC and C</w:t>
      </w:r>
      <w:r w:rsidRPr="00CB0288">
        <w:rPr>
          <w:vertAlign w:val="subscript"/>
        </w:rPr>
        <w:t>max</w:t>
      </w:r>
      <w:r w:rsidRPr="00CB0288">
        <w:t> of calcium channel blockers decreased with variable degrees when co-administered with GFJ. Apple and orange juices have comparable effects on certain medications. Most studies had small sample sizes and were of moderate quality. Hemodynamic effects were not assessed in most studies; thus, the clinical significance of these interactions remains uncertain and should be further investigated.</w:t>
      </w:r>
    </w:p>
    <w:p w14:paraId="707205AC" w14:textId="77777777" w:rsidR="00CB0288" w:rsidRPr="00CB0288" w:rsidRDefault="00CB0288" w:rsidP="00CB0288">
      <w:r w:rsidRPr="00CB0288">
        <w:t>Conclusion: Co-administration of fruit juice with antihypertensive drugs can result in an increase or decrease in drugs' bioavailability, depending on the drugs' metabolism route and the involvement of transporters. Though further studies are needed to confirm clinical relevance in hypertensive patients, it is advised to avoid co-consumption of fruit juice with drugs showing significant changes in pharmacokinetic parameters to prevent subtherapeutic or supratherapeutic effects.</w:t>
      </w:r>
    </w:p>
    <w:p w14:paraId="615084A7" w14:textId="77777777" w:rsidR="00CB0288" w:rsidRPr="00CB0288" w:rsidRDefault="00CB0288" w:rsidP="00CB0288">
      <w:r w:rsidRPr="00CB0288">
        <w:t>Keywords: Antihypertensive drugs; CYP3A4; Drug interactions; Fruit juices; OATP.</w:t>
      </w:r>
    </w:p>
    <w:p w14:paraId="16C7D513" w14:textId="68FDED88" w:rsidR="007E5FB9" w:rsidRPr="007E5FB9" w:rsidRDefault="007E5FB9" w:rsidP="007E5FB9">
      <w:pPr>
        <w:rPr>
          <w:b/>
          <w:bCs/>
        </w:rPr>
      </w:pPr>
    </w:p>
    <w:p w14:paraId="404BB030" w14:textId="77777777" w:rsidR="007E5FB9" w:rsidRDefault="007E5FB9" w:rsidP="007E5FB9">
      <w:pPr>
        <w:rPr>
          <w:b/>
          <w:bCs/>
        </w:rPr>
      </w:pPr>
      <w:r w:rsidRPr="007E5FB9">
        <w:rPr>
          <w:b/>
          <w:bCs/>
        </w:rPr>
        <w:t>Sıfır Riskli Alternatif: Antioksidan ve C vitamini için Kuşburnu (Rosehip) veya Yaban Mersini (Blueberry).</w:t>
      </w:r>
    </w:p>
    <w:p w14:paraId="0B75A68A" w14:textId="77777777" w:rsidR="00CB0288" w:rsidRPr="007E5FB9" w:rsidRDefault="00CB0288" w:rsidP="007E5FB9">
      <w:pPr>
        <w:rPr>
          <w:b/>
          <w:bCs/>
        </w:rPr>
      </w:pPr>
    </w:p>
    <w:p w14:paraId="03972E79" w14:textId="77777777" w:rsidR="007E5FB9" w:rsidRDefault="007E5FB9" w:rsidP="007E5FB9">
      <w:pPr>
        <w:rPr>
          <w:b/>
          <w:bCs/>
        </w:rPr>
      </w:pPr>
    </w:p>
    <w:p w14:paraId="2898CA66" w14:textId="77777777" w:rsidR="007E5FB9" w:rsidRDefault="007E5FB9" w:rsidP="007E5FB9">
      <w:pPr>
        <w:rPr>
          <w:b/>
          <w:bCs/>
        </w:rPr>
      </w:pPr>
      <w:r w:rsidRPr="007E5FB9">
        <w:rPr>
          <w:b/>
          <w:bCs/>
        </w:rPr>
        <w:t>### BÖLÜM 4: MEYAN KÖKÜ (LICORICE) ETKİLEŞİMLERİ Mekanizma: Potasyum atılımı ve Hipokalemi (Diüretiklerle birleşince kalp ritmini bozar).</w:t>
      </w:r>
    </w:p>
    <w:p w14:paraId="1479D65F" w14:textId="77777777" w:rsidR="007E5FB9" w:rsidRPr="007E5FB9" w:rsidRDefault="007E5FB9" w:rsidP="007E5FB9">
      <w:pPr>
        <w:rPr>
          <w:b/>
          <w:bCs/>
        </w:rPr>
      </w:pPr>
    </w:p>
    <w:p w14:paraId="20DCE617" w14:textId="77777777" w:rsidR="007E5FB9" w:rsidRPr="007E5FB9" w:rsidRDefault="007E5FB9" w:rsidP="007E5FB9">
      <w:pPr>
        <w:rPr>
          <w:b/>
          <w:bCs/>
        </w:rPr>
      </w:pPr>
      <w:r w:rsidRPr="007E5FB9">
        <w:rPr>
          <w:b/>
          <w:bCs/>
        </w:rPr>
        <w:t>Makale 1 The association between consistent licorice ingestion, hypertension and hypokalaemia: a systematic review and meta-analysis</w:t>
      </w:r>
    </w:p>
    <w:p w14:paraId="2447B2A5" w14:textId="5573B8A0" w:rsidR="007E5FB9" w:rsidRDefault="007E5FB9" w:rsidP="007E5FB9">
      <w:pPr>
        <w:rPr>
          <w:b/>
          <w:bCs/>
        </w:rPr>
      </w:pPr>
    </w:p>
    <w:p w14:paraId="40C2FC95" w14:textId="77777777" w:rsidR="007E5FB9" w:rsidRDefault="007E5FB9" w:rsidP="007E5FB9">
      <w:pPr>
        <w:rPr>
          <w:b/>
          <w:bCs/>
        </w:rPr>
      </w:pPr>
      <w:r w:rsidRPr="007E5FB9">
        <w:rPr>
          <w:b/>
          <w:bCs/>
        </w:rPr>
        <w:t xml:space="preserve">PMID: 28833680 </w:t>
      </w:r>
    </w:p>
    <w:p w14:paraId="1F67E6A2" w14:textId="77777777" w:rsidR="007E5FB9" w:rsidRPr="00CB0288" w:rsidRDefault="007E5FB9" w:rsidP="007E5FB9">
      <w:r w:rsidRPr="007E5FB9">
        <w:rPr>
          <w:b/>
          <w:bCs/>
        </w:rPr>
        <w:t xml:space="preserve">Metin: </w:t>
      </w:r>
      <w:r w:rsidRPr="00CB0288">
        <w:t>Abstract</w:t>
      </w:r>
    </w:p>
    <w:p w14:paraId="700799EF" w14:textId="77777777" w:rsidR="007E5FB9" w:rsidRPr="007E5FB9" w:rsidRDefault="007E5FB9" w:rsidP="007E5FB9">
      <w:r w:rsidRPr="007E5FB9">
        <w:t>There have been numerous case reports of severe adverse events including deaths following chronic licorice ingestion. The aim of the present study was to evaluate the effect of chronic ingestion of licorice on blood pressure, plasma potassium, plasma renin activity and plasma aldosterone. A search of MEDLINE, PubMed, EMBASE, CENTRAL, DARE, CINAHL and Current Contents Connect was performed from inception through to 26 April 2017. Trials that included a treatment group ingesting a product containing at least 100</w:t>
      </w:r>
      <w:r w:rsidRPr="007E5FB9">
        <w:rPr>
          <w:rFonts w:ascii="Arial" w:hAnsi="Arial" w:cs="Arial"/>
        </w:rPr>
        <w:t> </w:t>
      </w:r>
      <w:r w:rsidRPr="007E5FB9">
        <w:t>mg of glycyrrhizic acid daily were selected. Pooled mean changes from baseline with 95% confidence intervals were calculated for diastolic blood pressure, systolic blood pressure, plasma potassium, plasma renin activity and plasma aldosterone using a random effects model. An assessment of dose</w:t>
      </w:r>
      <w:r w:rsidRPr="007E5FB9">
        <w:rPr>
          <w:rFonts w:ascii="Aptos" w:hAnsi="Aptos" w:cs="Aptos"/>
        </w:rPr>
        <w:t>–</w:t>
      </w:r>
      <w:r w:rsidRPr="007E5FB9">
        <w:t>response was also undertaken. A total of 18 studies (</w:t>
      </w:r>
      <w:r w:rsidRPr="007E5FB9">
        <w:rPr>
          <w:i/>
          <w:iCs/>
        </w:rPr>
        <w:t>n</w:t>
      </w:r>
      <w:r w:rsidRPr="007E5FB9">
        <w:t>=337) were included in the meta-analysis. There was a statistically significant increase in mean systolic blood pressure (5.45</w:t>
      </w:r>
      <w:r w:rsidRPr="007E5FB9">
        <w:rPr>
          <w:rFonts w:ascii="Arial" w:hAnsi="Arial" w:cs="Arial"/>
        </w:rPr>
        <w:t> </w:t>
      </w:r>
      <w:r w:rsidRPr="007E5FB9">
        <w:t>mm</w:t>
      </w:r>
      <w:r w:rsidRPr="007E5FB9">
        <w:rPr>
          <w:rFonts w:ascii="Arial" w:hAnsi="Arial" w:cs="Arial"/>
        </w:rPr>
        <w:t> </w:t>
      </w:r>
      <w:r w:rsidRPr="007E5FB9">
        <w:t>Hg, 95% CI 3.51</w:t>
      </w:r>
      <w:r w:rsidRPr="007E5FB9">
        <w:rPr>
          <w:rFonts w:ascii="Aptos" w:hAnsi="Aptos" w:cs="Aptos"/>
        </w:rPr>
        <w:t>–</w:t>
      </w:r>
      <w:r w:rsidRPr="007E5FB9">
        <w:t>7.39) and diastolic blood pressure (3.19</w:t>
      </w:r>
      <w:r w:rsidRPr="007E5FB9">
        <w:rPr>
          <w:rFonts w:ascii="Arial" w:hAnsi="Arial" w:cs="Arial"/>
        </w:rPr>
        <w:t> </w:t>
      </w:r>
      <w:r w:rsidRPr="007E5FB9">
        <w:t>mm</w:t>
      </w:r>
      <w:r w:rsidRPr="007E5FB9">
        <w:rPr>
          <w:rFonts w:ascii="Arial" w:hAnsi="Arial" w:cs="Arial"/>
        </w:rPr>
        <w:t> </w:t>
      </w:r>
      <w:r w:rsidRPr="007E5FB9">
        <w:t>Hg, 95% CI 0.10</w:t>
      </w:r>
      <w:r w:rsidRPr="007E5FB9">
        <w:rPr>
          <w:rFonts w:ascii="Aptos" w:hAnsi="Aptos" w:cs="Aptos"/>
        </w:rPr>
        <w:t>–</w:t>
      </w:r>
      <w:r w:rsidRPr="007E5FB9">
        <w:t>6.29) after chronic ingestion of a product containing glycyrrhizic acid. Plasma potassium (</w:t>
      </w:r>
      <w:r w:rsidRPr="007E5FB9">
        <w:rPr>
          <w:rFonts w:ascii="Aptos" w:hAnsi="Aptos" w:cs="Aptos"/>
        </w:rPr>
        <w:t>−</w:t>
      </w:r>
      <w:r w:rsidRPr="007E5FB9">
        <w:t>0.33</w:t>
      </w:r>
      <w:r w:rsidRPr="007E5FB9">
        <w:rPr>
          <w:rFonts w:ascii="Arial" w:hAnsi="Arial" w:cs="Arial"/>
        </w:rPr>
        <w:t> </w:t>
      </w:r>
      <w:r w:rsidRPr="007E5FB9">
        <w:t>mmol</w:t>
      </w:r>
      <w:r w:rsidRPr="007E5FB9">
        <w:rPr>
          <w:rFonts w:ascii="Arial" w:hAnsi="Arial" w:cs="Arial"/>
        </w:rPr>
        <w:t> </w:t>
      </w:r>
      <w:r w:rsidRPr="007E5FB9">
        <w:t>l</w:t>
      </w:r>
      <w:r w:rsidRPr="007E5FB9">
        <w:rPr>
          <w:vertAlign w:val="superscript"/>
        </w:rPr>
        <w:t>−1</w:t>
      </w:r>
      <w:r w:rsidRPr="007E5FB9">
        <w:t>, 95% CI −0.42 to 0.23), plasma renin activity (−0.82</w:t>
      </w:r>
      <w:r w:rsidRPr="007E5FB9">
        <w:rPr>
          <w:rFonts w:ascii="Arial" w:hAnsi="Arial" w:cs="Arial"/>
        </w:rPr>
        <w:t> </w:t>
      </w:r>
      <w:r w:rsidRPr="007E5FB9">
        <w:t>ngml</w:t>
      </w:r>
      <w:r w:rsidRPr="007E5FB9">
        <w:rPr>
          <w:vertAlign w:val="superscript"/>
        </w:rPr>
        <w:t>−1</w:t>
      </w:r>
      <w:r w:rsidRPr="007E5FB9">
        <w:rPr>
          <w:rFonts w:ascii="Arial" w:hAnsi="Arial" w:cs="Arial"/>
        </w:rPr>
        <w:t> </w:t>
      </w:r>
      <w:r w:rsidRPr="007E5FB9">
        <w:t>per hour, 95% CI −1.27 to −0.37) and plasma aldosterone (−173.24</w:t>
      </w:r>
      <w:r w:rsidRPr="007E5FB9">
        <w:rPr>
          <w:rFonts w:ascii="Arial" w:hAnsi="Arial" w:cs="Arial"/>
        </w:rPr>
        <w:t> </w:t>
      </w:r>
      <w:r w:rsidRPr="007E5FB9">
        <w:t>pmol</w:t>
      </w:r>
      <w:r w:rsidRPr="007E5FB9">
        <w:rPr>
          <w:rFonts w:ascii="Arial" w:hAnsi="Arial" w:cs="Arial"/>
        </w:rPr>
        <w:t> </w:t>
      </w:r>
      <w:r w:rsidRPr="007E5FB9">
        <w:t>l</w:t>
      </w:r>
      <w:r w:rsidRPr="007E5FB9">
        <w:rPr>
          <w:vertAlign w:val="superscript"/>
        </w:rPr>
        <w:t>−1</w:t>
      </w:r>
      <w:r w:rsidRPr="007E5FB9">
        <w:t>, 95% CI −231.65 to −114.83) were all significantly decreased. A significant correlation was noted between daily dose of glycyrrhizic acid and systolic blood pressure (</w:t>
      </w:r>
      <w:r w:rsidRPr="007E5FB9">
        <w:rPr>
          <w:i/>
          <w:iCs/>
        </w:rPr>
        <w:t>r</w:t>
      </w:r>
      <w:r w:rsidRPr="007E5FB9">
        <w:rPr>
          <w:vertAlign w:val="superscript"/>
        </w:rPr>
        <w:t>2</w:t>
      </w:r>
      <w:r w:rsidRPr="007E5FB9">
        <w:t>=0.55) and diastolic blood pressure (</w:t>
      </w:r>
      <w:r w:rsidRPr="007E5FB9">
        <w:rPr>
          <w:i/>
          <w:iCs/>
        </w:rPr>
        <w:t>r</w:t>
      </w:r>
      <w:r w:rsidRPr="007E5FB9">
        <w:rPr>
          <w:vertAlign w:val="superscript"/>
        </w:rPr>
        <w:t>2</w:t>
      </w:r>
      <w:r w:rsidRPr="007E5FB9">
        <w:t>=0.65), but not for the other outcome measures. Hence, chronic licorice ingestion is associated with an increase in blood pressure and a drop in plasma potassium, even at modest doses. This is of particular relevance for individuals with existing cardiovascular disease.</w:t>
      </w:r>
    </w:p>
    <w:p w14:paraId="08997C35" w14:textId="6EA951CB" w:rsidR="007E5FB9" w:rsidRDefault="007E5FB9" w:rsidP="007E5FB9">
      <w:pPr>
        <w:rPr>
          <w:b/>
          <w:bCs/>
        </w:rPr>
      </w:pPr>
    </w:p>
    <w:p w14:paraId="5C12E93E" w14:textId="77777777" w:rsidR="00CB0288" w:rsidRPr="007E5FB9" w:rsidRDefault="00CB0288" w:rsidP="007E5FB9">
      <w:pPr>
        <w:rPr>
          <w:b/>
          <w:bCs/>
        </w:rPr>
      </w:pPr>
    </w:p>
    <w:p w14:paraId="2C9CAB6F" w14:textId="60A37242" w:rsidR="00CB0288" w:rsidRDefault="007E5FB9" w:rsidP="007E5FB9">
      <w:pPr>
        <w:rPr>
          <w:b/>
          <w:bCs/>
        </w:rPr>
      </w:pPr>
      <w:r w:rsidRPr="007E5FB9">
        <w:rPr>
          <w:b/>
          <w:bCs/>
        </w:rPr>
        <w:t xml:space="preserve">Makale 2 </w:t>
      </w:r>
      <w:r w:rsidR="00CB0288" w:rsidRPr="00CB0288">
        <w:rPr>
          <w:b/>
          <w:bCs/>
        </w:rPr>
        <w:t>The association between consistent licorice ingestion, hypertension and hypokalaemia: a systematic review and meta-analysis</w:t>
      </w:r>
    </w:p>
    <w:p w14:paraId="191C86D5" w14:textId="77777777" w:rsidR="00CB0288" w:rsidRDefault="007E5FB9" w:rsidP="007E5FB9">
      <w:pPr>
        <w:rPr>
          <w:b/>
          <w:bCs/>
        </w:rPr>
      </w:pPr>
      <w:r w:rsidRPr="007E5FB9">
        <w:rPr>
          <w:b/>
          <w:bCs/>
        </w:rPr>
        <w:t>PMID: 31133605</w:t>
      </w:r>
    </w:p>
    <w:p w14:paraId="7904299B" w14:textId="77777777" w:rsidR="00CB0288" w:rsidRPr="00CB0288" w:rsidRDefault="007E5FB9" w:rsidP="00CB0288">
      <w:pPr>
        <w:rPr>
          <w:b/>
          <w:bCs/>
        </w:rPr>
      </w:pPr>
      <w:r w:rsidRPr="007E5FB9">
        <w:rPr>
          <w:b/>
          <w:bCs/>
        </w:rPr>
        <w:lastRenderedPageBreak/>
        <w:t xml:space="preserve"> Metin: </w:t>
      </w:r>
      <w:r w:rsidR="00CB0288" w:rsidRPr="00CB0288">
        <w:t>Abstract</w:t>
      </w:r>
    </w:p>
    <w:p w14:paraId="2FBD2701" w14:textId="77777777" w:rsidR="00CB0288" w:rsidRPr="00CB0288" w:rsidRDefault="00CB0288" w:rsidP="00CB0288">
      <w:r w:rsidRPr="00CB0288">
        <w:t>There have been numerous case reports of severe adverse events including deaths following chronic licorice ingestion. The aim of the present study was to evaluate the effect of chronic ingestion of licorice on blood pressure, plasma potassium, plasma renin activity and plasma aldosterone. A search of MEDLINE, PubMed, EMBASE, CENTRAL, DARE, CINAHL and Current Contents Connect was performed from inception through to 26 April 2017. Trials that included a treatment group ingesting a product containing at least 100 mg of glycyrrhizic acid daily were selected. Pooled mean changes from baseline with 95% confidence intervals were calculated for diastolic blood pressure, systolic blood pressure, plasma potassium, plasma renin activity and plasma aldosterone using a random effects model. An assessment of dose-response was also undertaken. A total of 18 studies (n=337) were included in the meta-analysis. There was a statistically significant increase in mean systolic blood pressure (5.45 mm Hg, 95% CI 3.51-7.39) and diastolic blood pressure (3.19 mm Hg, 95% CI 0.10-6.29) after chronic ingestion of a product containing glycyrrhizic acid. Plasma potassium (-0.33 mmol l</w:t>
      </w:r>
      <w:r w:rsidRPr="00CB0288">
        <w:rPr>
          <w:vertAlign w:val="superscript"/>
        </w:rPr>
        <w:t>-1</w:t>
      </w:r>
      <w:r w:rsidRPr="00CB0288">
        <w:t>, 95% CI -0.42 to 0.23), plasma renin activity (-0.82 ngml</w:t>
      </w:r>
      <w:r w:rsidRPr="00CB0288">
        <w:rPr>
          <w:vertAlign w:val="superscript"/>
        </w:rPr>
        <w:t>-1</w:t>
      </w:r>
      <w:r w:rsidRPr="00CB0288">
        <w:t> per hour, 95% CI -1.27 to -0.37) and plasma aldosterone (-173.24 pmol l</w:t>
      </w:r>
      <w:r w:rsidRPr="00CB0288">
        <w:rPr>
          <w:vertAlign w:val="superscript"/>
        </w:rPr>
        <w:t>-1</w:t>
      </w:r>
      <w:r w:rsidRPr="00CB0288">
        <w:t>, 95% CI -231.65 to -114.83) were all significantly decreased. A significant correlation was noted between daily dose of glycyrrhizic acid and systolic blood pressure (r</w:t>
      </w:r>
      <w:r w:rsidRPr="00CB0288">
        <w:rPr>
          <w:vertAlign w:val="superscript"/>
        </w:rPr>
        <w:t>2</w:t>
      </w:r>
      <w:r w:rsidRPr="00CB0288">
        <w:t>=0.55) and diastolic blood pressure (r</w:t>
      </w:r>
      <w:r w:rsidRPr="00CB0288">
        <w:rPr>
          <w:vertAlign w:val="superscript"/>
        </w:rPr>
        <w:t>2</w:t>
      </w:r>
      <w:r w:rsidRPr="00CB0288">
        <w:t>=0.65), but not for the other outcome measures. Hence, chronic licorice ingestion is associated with an increase in blood pressure and a drop in plasma potassium, even at modest doses. This is of particular relevance for individuals with existing cardiovascular disease.</w:t>
      </w:r>
    </w:p>
    <w:p w14:paraId="156DFA5C" w14:textId="068E2968" w:rsidR="007E5FB9" w:rsidRDefault="007E5FB9" w:rsidP="007E5FB9">
      <w:pPr>
        <w:rPr>
          <w:b/>
          <w:bCs/>
        </w:rPr>
      </w:pPr>
      <w:r w:rsidRPr="007E5FB9">
        <w:rPr>
          <w:b/>
          <w:bCs/>
        </w:rPr>
        <w:t>Sıfır Riskli Alternatif: Mide rahatsızlıkları için potasyum dengesini bozmayan Hatmi Kökü (Marshmallow root) veya Nane (Peppermint).</w:t>
      </w:r>
    </w:p>
    <w:p w14:paraId="7789AE67" w14:textId="77777777" w:rsidR="00CB0288" w:rsidRPr="007E5FB9" w:rsidRDefault="00CB0288" w:rsidP="007E5FB9">
      <w:pPr>
        <w:rPr>
          <w:b/>
          <w:bCs/>
        </w:rPr>
      </w:pPr>
    </w:p>
    <w:p w14:paraId="552B10B0" w14:textId="77777777" w:rsidR="007E5FB9" w:rsidRDefault="007E5FB9" w:rsidP="007E5FB9">
      <w:pPr>
        <w:rPr>
          <w:b/>
          <w:bCs/>
        </w:rPr>
      </w:pPr>
    </w:p>
    <w:p w14:paraId="541D388D" w14:textId="77777777" w:rsidR="007E5FB9" w:rsidRDefault="007E5FB9" w:rsidP="007E5FB9">
      <w:pPr>
        <w:rPr>
          <w:b/>
          <w:bCs/>
        </w:rPr>
      </w:pPr>
      <w:r w:rsidRPr="007E5FB9">
        <w:rPr>
          <w:b/>
          <w:bCs/>
        </w:rPr>
        <w:t>### BÖLÜM 5: SARIMSAK (GARLIC) ETKİLEŞİMLERİ Mekanizma: Hipotansiyon ve Trombosit disfonksiyonu (Cerrahi öncesi veya tansiyon ilaçlarıyla tehlikeli).</w:t>
      </w:r>
    </w:p>
    <w:p w14:paraId="7E7D0233" w14:textId="77777777" w:rsidR="00CB0288" w:rsidRDefault="00CB0288" w:rsidP="007E5FB9">
      <w:pPr>
        <w:rPr>
          <w:b/>
          <w:bCs/>
        </w:rPr>
      </w:pPr>
    </w:p>
    <w:p w14:paraId="66E9B855" w14:textId="77777777" w:rsidR="005F0C93" w:rsidRPr="007E5FB9" w:rsidRDefault="005F0C93" w:rsidP="007E5FB9">
      <w:pPr>
        <w:rPr>
          <w:b/>
          <w:bCs/>
        </w:rPr>
      </w:pPr>
    </w:p>
    <w:p w14:paraId="19480D34" w14:textId="51480525" w:rsidR="00CB0288" w:rsidRDefault="007E5FB9" w:rsidP="007E5FB9">
      <w:pPr>
        <w:rPr>
          <w:b/>
          <w:bCs/>
        </w:rPr>
      </w:pPr>
      <w:r w:rsidRPr="007E5FB9">
        <w:rPr>
          <w:b/>
          <w:bCs/>
        </w:rPr>
        <w:t xml:space="preserve">Makale 1 </w:t>
      </w:r>
      <w:r w:rsidR="005F0C93" w:rsidRPr="005F0C93">
        <w:rPr>
          <w:b/>
          <w:bCs/>
        </w:rPr>
        <w:t>Herb-drug interactions</w:t>
      </w:r>
    </w:p>
    <w:p w14:paraId="6305AF85" w14:textId="77777777" w:rsidR="005F0C93" w:rsidRDefault="005F0C93" w:rsidP="007E5FB9">
      <w:pPr>
        <w:rPr>
          <w:b/>
          <w:bCs/>
        </w:rPr>
      </w:pPr>
    </w:p>
    <w:p w14:paraId="5BB12E5B" w14:textId="77777777" w:rsidR="005F0C93" w:rsidRPr="005F0C93" w:rsidRDefault="007E5FB9" w:rsidP="005F0C93">
      <w:pPr>
        <w:rPr>
          <w:b/>
          <w:bCs/>
        </w:rPr>
      </w:pPr>
      <w:r w:rsidRPr="007E5FB9">
        <w:rPr>
          <w:b/>
          <w:bCs/>
        </w:rPr>
        <w:t xml:space="preserve">PMID: </w:t>
      </w:r>
      <w:r w:rsidR="005F0C93" w:rsidRPr="005F0C93">
        <w:rPr>
          <w:b/>
          <w:bCs/>
        </w:rPr>
        <w:t>10675182</w:t>
      </w:r>
    </w:p>
    <w:p w14:paraId="3AC4FED0" w14:textId="374C4F85" w:rsidR="00CB0288" w:rsidRDefault="00CB0288" w:rsidP="007E5FB9">
      <w:pPr>
        <w:rPr>
          <w:b/>
          <w:bCs/>
        </w:rPr>
      </w:pPr>
    </w:p>
    <w:p w14:paraId="687A1B47" w14:textId="77777777" w:rsidR="005F0C93" w:rsidRPr="005F0C93" w:rsidRDefault="007E5FB9" w:rsidP="005F0C93">
      <w:r w:rsidRPr="007E5FB9">
        <w:rPr>
          <w:b/>
          <w:bCs/>
        </w:rPr>
        <w:lastRenderedPageBreak/>
        <w:t xml:space="preserve">Metin: </w:t>
      </w:r>
      <w:r w:rsidR="005F0C93" w:rsidRPr="005F0C93">
        <w:t>Abstract</w:t>
      </w:r>
    </w:p>
    <w:p w14:paraId="2F755267" w14:textId="77777777" w:rsidR="005F0C93" w:rsidRPr="005F0C93" w:rsidRDefault="005F0C93" w:rsidP="005F0C93">
      <w:r w:rsidRPr="005F0C93">
        <w:t>Concurrent use of herbs may mimic, magnify, or oppose the effect of drugs. Plausible cases of herb-drug interactions include: bleeding when warfarin is combined with ginkgo (Ginkgo biloba), garlic (Allium sativum), dong quai (Angelica sinensis), or danshen (Salvia miltiorrhiza); mild serotonin syndrome in patients who mix St John's wort (Hypericum perforatum) with serotonin-reuptake inhibitors; decreased bioavailability of digoxin, theophylline, cyclosporin, and phenprocoumon when these drugs are combined with St John's wort; induction of mania in depressed patients who mix antidepressants and Panax ginseng; exacerbation of extrapyramidal effects with neuroleptic drugs and betel nut (Areca catechu); increased risk of hypertension when tricyclic antidepressants are combined with yohimbine (Pausinystalia yohimbe); potentiation of oral and topical corticosteroids by liquorice (Glycyrrhiza glabra); decreased blood concentrations of prednisolone when taken with the Chinese herbal product xaio chai hu tang (sho-salko-to); and decreased concentrations of phenytoin when combined with the Ayurvedic syrup shankhapushpi. Anthranoid-containing plants (including senna [Cassia senna] and cascara [Rhamnus purshiana]) and soluble fibres (including guar gum and psyllium) can decrease the absorption of drugs. Many reports of herb-drug interactions are sketchy and lack laboratory analysis of suspect preparations. Health-care practitioners should caution patients against mixing herbs and pharmaceutical drugs.</w:t>
      </w:r>
    </w:p>
    <w:p w14:paraId="000F4F52" w14:textId="42E70A91" w:rsidR="007E5FB9" w:rsidRPr="007E5FB9" w:rsidRDefault="007E5FB9" w:rsidP="007E5FB9">
      <w:pPr>
        <w:rPr>
          <w:b/>
          <w:bCs/>
        </w:rPr>
      </w:pPr>
    </w:p>
    <w:p w14:paraId="3F4C139C" w14:textId="77777777" w:rsidR="005F0C93" w:rsidRPr="005F0C93" w:rsidRDefault="007E5FB9" w:rsidP="005F0C93">
      <w:pPr>
        <w:rPr>
          <w:b/>
          <w:bCs/>
        </w:rPr>
      </w:pPr>
      <w:r w:rsidRPr="007E5FB9">
        <w:rPr>
          <w:b/>
          <w:bCs/>
        </w:rPr>
        <w:t xml:space="preserve">Makale 2 </w:t>
      </w:r>
      <w:r w:rsidR="005F0C93" w:rsidRPr="005F0C93">
        <w:rPr>
          <w:b/>
          <w:bCs/>
        </w:rPr>
        <w:t>Interactions between herbal medicines and prescribed drugs: an updated systematic review</w:t>
      </w:r>
    </w:p>
    <w:p w14:paraId="17155698" w14:textId="6499227C" w:rsidR="00CB0288" w:rsidRDefault="00CB0288" w:rsidP="007E5FB9">
      <w:pPr>
        <w:rPr>
          <w:b/>
          <w:bCs/>
        </w:rPr>
      </w:pPr>
    </w:p>
    <w:p w14:paraId="09DD189F" w14:textId="77777777" w:rsidR="005F0C93" w:rsidRPr="005F0C93" w:rsidRDefault="007E5FB9" w:rsidP="005F0C93">
      <w:pPr>
        <w:rPr>
          <w:b/>
          <w:bCs/>
        </w:rPr>
      </w:pPr>
      <w:r w:rsidRPr="007E5FB9">
        <w:rPr>
          <w:b/>
          <w:bCs/>
        </w:rPr>
        <w:t xml:space="preserve">PMID: </w:t>
      </w:r>
      <w:r w:rsidR="005F0C93" w:rsidRPr="005F0C93">
        <w:rPr>
          <w:b/>
          <w:bCs/>
        </w:rPr>
        <w:t>19719333</w:t>
      </w:r>
    </w:p>
    <w:p w14:paraId="494DA955" w14:textId="02064F20" w:rsidR="00CB0288" w:rsidRDefault="00CB0288" w:rsidP="007E5FB9">
      <w:pPr>
        <w:rPr>
          <w:b/>
          <w:bCs/>
        </w:rPr>
      </w:pPr>
    </w:p>
    <w:p w14:paraId="28EE9F14" w14:textId="77777777" w:rsidR="005F0C93" w:rsidRPr="005F0C93" w:rsidRDefault="007E5FB9" w:rsidP="005F0C93">
      <w:r w:rsidRPr="007E5FB9">
        <w:rPr>
          <w:b/>
          <w:bCs/>
        </w:rPr>
        <w:t xml:space="preserve">Metin: </w:t>
      </w:r>
      <w:r w:rsidR="005F0C93" w:rsidRPr="005F0C93">
        <w:t>Abstract</w:t>
      </w:r>
    </w:p>
    <w:p w14:paraId="65599D14" w14:textId="77777777" w:rsidR="005F0C93" w:rsidRPr="005F0C93" w:rsidRDefault="005F0C93" w:rsidP="005F0C93">
      <w:r w:rsidRPr="005F0C93">
        <w:t xml:space="preserve">The concomitant use of herbal medicines and pharmacotherapy is wide spread. We have reviewed the literature to determine the possible interactions between seven popular herbal medicines (ginkgo, St John's wort, ginseng, garlic, echinacea, saw palmetto and kava) and conventional drugs. Literature searches were performed using MEDLINE, Cochrane Library and EMBASE and we identified 128 case reports or case series, and 80 clinical trials. Clinical trials indicate that St John's wort (Hypericum perforatum), via cytochrome P450 (CYP) and/or P-glycoprotein induction, reduces the plasma concentrations (and/or increases the clearance) of alprazolam, amitriptyline, atorvastatin, chlorzoxazone, ciclosporin, debrisoquine, digoxin, erythromycin, fexofenadine, gliclazide, imatinib, indinavir, irinotecan, ivabradine, mephenytoin, </w:t>
      </w:r>
      <w:r w:rsidRPr="005F0C93">
        <w:lastRenderedPageBreak/>
        <w:t>methadone, midazolam, nifedipine, omeprazole, oral contraceptives, quazepam, simvastatin, tacrolimus, talinolol, verapamil, voriconazole and warfarin. Case reports or case series suggest interactions of St John's wort with adrenergic vasopressors, anaesthetics, bupropion, buspirone, ciclosporin, eletriptan, loperamide, nefazodone, nevirapine, oral contraceptives, paroxetine, phenprocoumon, prednisone, sertraline, tacrolimus, theophylline, tibolone, tryptophan, venlafaxine and warfarin. Ginkgo (Ginkgo biloba) decreases the plasma concentrations of omeprazole, ritonavir and tolbutamide. Clinical cases indicate interactions of ginkgo with antiepileptics, aspirin (acetylsalicylic acid), diuretics, ibuprofen, risperidone, rofecoxib, trazodone and warfarin. Ginseng (Panax ginseng) may interact with phenelzine and warfarin. Kava (Piper methysticum) increases the clearance of chlorzoxazone (a CYP2E1 substrate) and may interact with alprazolam, levodopa and paroxetine. Garlic (Allium sativum) interacts with chlorpropamide, fluindione, ritonavir and warfarin; it also reduces plasma concentrations of chlorzoxazone (a CYP2E1 probe). Echinacea might affect the clearance of caffeine (a CYP1A2 probe) and midazolam (a CYP3A4 probe). No interactions have been reported for saw palmetto (Serenoa repens). Numerous interactions between herbal medicines and conventional drugs have been documented. While the significance of many interactions is uncertain, several interactions, particularly those with St John's wort, may have serious clinical consequences.</w:t>
      </w:r>
    </w:p>
    <w:p w14:paraId="715EE5E7" w14:textId="39EBE7CD" w:rsidR="007E5FB9" w:rsidRPr="007E5FB9" w:rsidRDefault="007E5FB9" w:rsidP="007E5FB9">
      <w:pPr>
        <w:rPr>
          <w:b/>
          <w:bCs/>
        </w:rPr>
      </w:pPr>
      <w:r w:rsidRPr="007E5FB9">
        <w:rPr>
          <w:b/>
          <w:bCs/>
        </w:rPr>
        <w:t>Sıfır Riskli Alternatif: Bağışıklık için kanama profilini bozmayan Ihlamur veya C Vitamini takviyesi.</w:t>
      </w:r>
    </w:p>
    <w:p w14:paraId="37817F48" w14:textId="77777777" w:rsidR="007E5FB9" w:rsidRDefault="007E5FB9" w:rsidP="007E5FB9">
      <w:pPr>
        <w:rPr>
          <w:b/>
          <w:bCs/>
        </w:rPr>
      </w:pPr>
    </w:p>
    <w:p w14:paraId="52439D3C" w14:textId="77777777" w:rsidR="00CB0288" w:rsidRDefault="00CB0288" w:rsidP="007E5FB9">
      <w:pPr>
        <w:rPr>
          <w:b/>
          <w:bCs/>
        </w:rPr>
      </w:pPr>
    </w:p>
    <w:p w14:paraId="11F221DE" w14:textId="77777777" w:rsidR="007E5FB9" w:rsidRDefault="007E5FB9" w:rsidP="007E5FB9">
      <w:pPr>
        <w:rPr>
          <w:b/>
          <w:bCs/>
        </w:rPr>
      </w:pPr>
      <w:r w:rsidRPr="007E5FB9">
        <w:rPr>
          <w:b/>
          <w:bCs/>
        </w:rPr>
        <w:t>### BÖLÜM 6: GİNSENG ETKİLEŞİMLERİ Mekanizma: Kan şekerini düşürücü etki (Metformin/İnsülin ile birleşince Hipoglisemi koması riski).</w:t>
      </w:r>
    </w:p>
    <w:p w14:paraId="3831EDA4" w14:textId="77777777" w:rsidR="00CB0288" w:rsidRPr="007E5FB9" w:rsidRDefault="00CB0288" w:rsidP="007E5FB9">
      <w:pPr>
        <w:rPr>
          <w:b/>
          <w:bCs/>
        </w:rPr>
      </w:pPr>
    </w:p>
    <w:p w14:paraId="72F4CE47" w14:textId="77777777" w:rsidR="00CB0288" w:rsidRPr="00CB0288" w:rsidRDefault="007E5FB9" w:rsidP="00CB0288">
      <w:pPr>
        <w:rPr>
          <w:b/>
          <w:bCs/>
        </w:rPr>
      </w:pPr>
      <w:r w:rsidRPr="007E5FB9">
        <w:rPr>
          <w:b/>
          <w:bCs/>
        </w:rPr>
        <w:t xml:space="preserve">Makale 1 </w:t>
      </w:r>
      <w:r w:rsidR="00CB0288" w:rsidRPr="00CB0288">
        <w:rPr>
          <w:b/>
          <w:bCs/>
        </w:rPr>
        <w:t>The Efficacy of Ginseng (Panax) on Human Prediabetes and Type 2 Diabetes Mellitus: A Systematic Review and Meta-Analysis</w:t>
      </w:r>
    </w:p>
    <w:p w14:paraId="560612FD" w14:textId="349A616B" w:rsidR="00CB0288" w:rsidRDefault="00CB0288" w:rsidP="007E5FB9">
      <w:pPr>
        <w:rPr>
          <w:b/>
          <w:bCs/>
        </w:rPr>
      </w:pPr>
    </w:p>
    <w:p w14:paraId="3984710F" w14:textId="77777777" w:rsidR="00CB0288" w:rsidRPr="00CB0288" w:rsidRDefault="007E5FB9" w:rsidP="00CB0288">
      <w:pPr>
        <w:rPr>
          <w:b/>
          <w:bCs/>
        </w:rPr>
      </w:pPr>
      <w:r w:rsidRPr="007E5FB9">
        <w:rPr>
          <w:b/>
          <w:bCs/>
        </w:rPr>
        <w:t xml:space="preserve">PMID: </w:t>
      </w:r>
      <w:r w:rsidR="00CB0288" w:rsidRPr="00CB0288">
        <w:rPr>
          <w:b/>
          <w:bCs/>
        </w:rPr>
        <w:t>35745129</w:t>
      </w:r>
    </w:p>
    <w:p w14:paraId="7A35C96F" w14:textId="28F2223E" w:rsidR="00CB0288" w:rsidRDefault="007E5FB9" w:rsidP="007E5FB9">
      <w:pPr>
        <w:rPr>
          <w:b/>
          <w:bCs/>
        </w:rPr>
      </w:pPr>
      <w:r w:rsidRPr="007E5FB9">
        <w:rPr>
          <w:b/>
          <w:bCs/>
        </w:rPr>
        <w:t xml:space="preserve"> </w:t>
      </w:r>
    </w:p>
    <w:p w14:paraId="2633E2F9" w14:textId="77777777" w:rsidR="00CB0288" w:rsidRPr="00A912F8" w:rsidRDefault="007E5FB9" w:rsidP="00CB0288">
      <w:r w:rsidRPr="007E5FB9">
        <w:rPr>
          <w:b/>
          <w:bCs/>
        </w:rPr>
        <w:t xml:space="preserve">Metin: </w:t>
      </w:r>
      <w:r w:rsidR="00CB0288" w:rsidRPr="00A912F8">
        <w:t>Abstract</w:t>
      </w:r>
    </w:p>
    <w:p w14:paraId="2F971EE8" w14:textId="4D55811C" w:rsidR="00CB0288" w:rsidRPr="00CB0288" w:rsidRDefault="00CB0288" w:rsidP="00CB0288">
      <w:r w:rsidRPr="00CB0288">
        <w:t xml:space="preserve">Results from different clinical trials on the effects of ginseng on prediabetes and type 2 diabetes (T2DM) are still inconsistent. To fill this knowledge gap, we investigated the overall effects of ginseng supplementation on improving cardiometabolic biomarkers among these patients. A systematic literature search was conducted on </w:t>
      </w:r>
      <w:r w:rsidRPr="00CB0288">
        <w:lastRenderedPageBreak/>
        <w:t>PubMed/MEDLINE, Scopus, Web of Science, and Cochrane library. A random-effect model was applied to estimate the weighted mean difference and 95% CI for each outcome. Overall, 20 eligible RCTs were included. Meta-analyses revealed that ginseng supplementation significantly reduced serum concentration of FPG, TC, IL-6, and HOMA-IR values. It also increased HR and TNF-α levels. Ginseng supplementation changed HOMA-IR and HDL-C significantly based on dose and changed HOMA-IR and LDL-C significantly based on study duration in a non-linear fashion. Furthermore, meta-regression analyses indicated a linear relationship between ginseng dose and absolute changes in HDL-C. Moreover, subgroup analyses showed that ginseng supplementation changed TC and LDL-C when the supplementation dose was ≥2 g/day. Our findings suggest that ginseng supplementation may be an effective strategy for improving cardiometabolic profiles in individuals with prediabetes and T2DM.</w:t>
      </w:r>
      <w:r w:rsidR="00A912F8" w:rsidRPr="00A912F8">
        <w:t xml:space="preserve"> </w:t>
      </w:r>
      <w:r w:rsidR="00A912F8" w:rsidRPr="00A912F8">
        <w:t>This meta-analysis suggests that ginseng can improve cardiometabolic outcomes in individuals with prediabetes and type 2 diabetes. These results may provide important information to health agencies in formulating future guidelines for the use of ginseng in managing diabetes and the associated risk factors and preventing the progression of prediabetes. However, large-scale, well-designed RCTs should be performed to further verify these findings in the future.</w:t>
      </w:r>
    </w:p>
    <w:p w14:paraId="538989D0" w14:textId="77777777" w:rsidR="00CB0288" w:rsidRPr="00CB0288" w:rsidRDefault="00CB0288" w:rsidP="00CB0288">
      <w:r w:rsidRPr="00CB0288">
        <w:t>Keywords: Panax, ginseng, blood lipid, inflammation, cardiometabolic indicators, prediabetes, diabetes mellitus</w:t>
      </w:r>
    </w:p>
    <w:p w14:paraId="62A369DB" w14:textId="77777777" w:rsidR="00A912F8" w:rsidRPr="00A912F8" w:rsidRDefault="007E5FB9" w:rsidP="00A912F8">
      <w:pPr>
        <w:rPr>
          <w:b/>
          <w:bCs/>
        </w:rPr>
      </w:pPr>
      <w:r w:rsidRPr="007E5FB9">
        <w:rPr>
          <w:b/>
          <w:bCs/>
        </w:rPr>
        <w:t xml:space="preserve">Makale 2 </w:t>
      </w:r>
      <w:r w:rsidR="00A912F8" w:rsidRPr="00A912F8">
        <w:rPr>
          <w:b/>
          <w:bCs/>
        </w:rPr>
        <w:t>Targeting pyroptosis: A novel strategy of ginseng for the treatment of diabetes and its chronic complications</w:t>
      </w:r>
    </w:p>
    <w:p w14:paraId="1B97C24E" w14:textId="3220D1E6" w:rsidR="00CB0288" w:rsidRDefault="00CB0288" w:rsidP="007E5FB9">
      <w:pPr>
        <w:rPr>
          <w:b/>
          <w:bCs/>
        </w:rPr>
      </w:pPr>
    </w:p>
    <w:p w14:paraId="336BD829" w14:textId="05E8B71B" w:rsidR="00A912F8" w:rsidRPr="00A912F8" w:rsidRDefault="00A912F8" w:rsidP="00A912F8">
      <w:pPr>
        <w:rPr>
          <w:b/>
          <w:bCs/>
        </w:rPr>
      </w:pPr>
      <w:r>
        <w:rPr>
          <w:b/>
          <w:bCs/>
        </w:rPr>
        <w:t>P</w:t>
      </w:r>
      <w:r w:rsidR="007E5FB9" w:rsidRPr="007E5FB9">
        <w:rPr>
          <w:b/>
          <w:bCs/>
        </w:rPr>
        <w:t xml:space="preserve">MID: </w:t>
      </w:r>
      <w:r w:rsidRPr="00A912F8">
        <w:rPr>
          <w:b/>
          <w:bCs/>
        </w:rPr>
        <w:t>39892311</w:t>
      </w:r>
    </w:p>
    <w:p w14:paraId="4206B6E3" w14:textId="77777777" w:rsidR="00A912F8" w:rsidRPr="00A912F8" w:rsidRDefault="007E5FB9" w:rsidP="00A912F8">
      <w:r w:rsidRPr="007E5FB9">
        <w:rPr>
          <w:b/>
          <w:bCs/>
        </w:rPr>
        <w:t xml:space="preserve">Metin: </w:t>
      </w:r>
      <w:r w:rsidR="00A912F8" w:rsidRPr="00A912F8">
        <w:t>Abstract</w:t>
      </w:r>
    </w:p>
    <w:p w14:paraId="16A2EEF8" w14:textId="77777777" w:rsidR="00A912F8" w:rsidRPr="00A912F8" w:rsidRDefault="00A912F8" w:rsidP="00A912F8">
      <w:r w:rsidRPr="00A912F8">
        <w:t>Background: Pyroptosis is a recently identified form of programmed cell death that plays a crucial role in the pathogenesis and progression of diabetes and associated chronic complications, while the occurrence mechanism remains unclear. Ginseng (Panax Ginseng C. A. Mey.) is a valuable traditional medicinal material with proved therapeutic effects on prevention and treatment of diabetes and diabetic complications. Targeting pyroptosis pathway has become a focus of study for ginseng in improvement of diabetes and related chronic complications.</w:t>
      </w:r>
    </w:p>
    <w:p w14:paraId="03B66508" w14:textId="77777777" w:rsidR="00A912F8" w:rsidRPr="00A912F8" w:rsidRDefault="00A912F8" w:rsidP="00A912F8">
      <w:r w:rsidRPr="00A912F8">
        <w:t>Purpose: The review aims to elucidate the happening mechanism of pyroptosis in diabetes and diabetic chronic complications, evaluate the effects of ginseng and its active components on diabetes and its chronic complications via pyroptosis-related pathways, and provide a new perspective for the management of diabetes.</w:t>
      </w:r>
    </w:p>
    <w:p w14:paraId="074E9B95" w14:textId="77777777" w:rsidR="00A912F8" w:rsidRPr="00A912F8" w:rsidRDefault="00A912F8" w:rsidP="00A912F8">
      <w:r w:rsidRPr="00A912F8">
        <w:lastRenderedPageBreak/>
        <w:t>Methods: We conducted the literature retrieval with PubMed, Web of Science, and ScienceDirect databases in a systematic manner (up to August 2024). The keywords included pyroptosis, diabetes, diabetic nephropathy, diabetic retinopathy, diabetic cardiomyopathy, diabetic neuropathy, ginseng, ginseng extract, and ginsenoside. The obtained literatures were comprehensively sorted out.</w:t>
      </w:r>
    </w:p>
    <w:p w14:paraId="6DB35507" w14:textId="77777777" w:rsidR="00A912F8" w:rsidRPr="00A912F8" w:rsidRDefault="00A912F8" w:rsidP="00A912F8">
      <w:r w:rsidRPr="00A912F8">
        <w:t>Results: Oxidative stress, endoplasmic reticulum stress (ERS), and inflammatory responses were primary contributors to pyroptosis in diabetes and associated chronic complications. In addition, some RNA molecules (miRNAs, circRNAs, and lncRNAs) also contributed to pyroptosis under hyperglycemia. The signaling pathways mainly included Nrf2/HO-1, IκB/NF-κB/NLRP3, NOX1/NOX4/TXNIP, and P2X7R/TXNIP/NLRP3. Ginseng extracts, some ginsenosides and flavonoid (Quercetin) could exert anti-diabetic effect by regulating pyroptosis-related pathways. We also discussed the toxicity, side effects and clinical applications of ginseng.</w:t>
      </w:r>
    </w:p>
    <w:p w14:paraId="13D1ECB3" w14:textId="77777777" w:rsidR="00A912F8" w:rsidRPr="00A912F8" w:rsidRDefault="00A912F8" w:rsidP="00A912F8">
      <w:r w:rsidRPr="00A912F8">
        <w:t>Conclusion: In summary, this review elucidates the happening mechanisms of pyroptosis in diabetes and associated chronic complications, and summarizes published studies about ginseng and its active ingredients in improving diabetes by regulating pyroptosis-related pathways. However, almost all researches are limited to animal and cell experiments, and more clinical trials are required to prove the therapeutic effect of ginseng on diabetes by targeting pyroptosis.</w:t>
      </w:r>
    </w:p>
    <w:p w14:paraId="77724BF1" w14:textId="77777777" w:rsidR="00A912F8" w:rsidRPr="00A912F8" w:rsidRDefault="00A912F8" w:rsidP="00A912F8">
      <w:r w:rsidRPr="00A912F8">
        <w:t>Keywords: Active ingredients; Diabetes; Diabetic chronic complication; Ginseng; Pyroptosis.</w:t>
      </w:r>
    </w:p>
    <w:p w14:paraId="459D64E0" w14:textId="76D8503D" w:rsidR="00CB0288" w:rsidRPr="007E5FB9" w:rsidRDefault="00CB0288" w:rsidP="00A912F8">
      <w:pPr>
        <w:rPr>
          <w:b/>
          <w:bCs/>
        </w:rPr>
      </w:pPr>
    </w:p>
    <w:p w14:paraId="4EA06C7D" w14:textId="77777777" w:rsidR="007E5FB9" w:rsidRDefault="007E5FB9" w:rsidP="007E5FB9">
      <w:pPr>
        <w:rPr>
          <w:b/>
          <w:bCs/>
        </w:rPr>
      </w:pPr>
    </w:p>
    <w:p w14:paraId="3484CEA2" w14:textId="77777777" w:rsidR="007E5FB9" w:rsidRDefault="007E5FB9" w:rsidP="007E5FB9">
      <w:pPr>
        <w:rPr>
          <w:b/>
          <w:bCs/>
        </w:rPr>
      </w:pPr>
      <w:r w:rsidRPr="007E5FB9">
        <w:rPr>
          <w:b/>
          <w:bCs/>
        </w:rPr>
        <w:t>### BÖLÜM 7: EKİNEZYA (ECHINACEA) ETKİLEŞİMLERİ Mekanizma: Bağışıklık sistemini uyarır (Organ nakli hastalarında veya otoimmün hastalıklarda immünosupresanların etkisini bozar).</w:t>
      </w:r>
    </w:p>
    <w:p w14:paraId="3D76ECE1" w14:textId="77777777" w:rsidR="005F0C93" w:rsidRPr="007E5FB9" w:rsidRDefault="005F0C93" w:rsidP="007E5FB9">
      <w:pPr>
        <w:rPr>
          <w:b/>
          <w:bCs/>
        </w:rPr>
      </w:pPr>
    </w:p>
    <w:p w14:paraId="23D6E85F" w14:textId="77777777" w:rsidR="005F0C93" w:rsidRPr="005F0C93" w:rsidRDefault="007E5FB9" w:rsidP="005F0C93">
      <w:pPr>
        <w:rPr>
          <w:b/>
          <w:bCs/>
        </w:rPr>
      </w:pPr>
      <w:r w:rsidRPr="007E5FB9">
        <w:rPr>
          <w:b/>
          <w:bCs/>
        </w:rPr>
        <w:t xml:space="preserve">Makale 1 </w:t>
      </w:r>
      <w:r w:rsidR="005F0C93" w:rsidRPr="005F0C93">
        <w:rPr>
          <w:b/>
          <w:bCs/>
        </w:rPr>
        <w:t>Safety and efficacy of echinacea (Echinacea angustafolia, e. purpurea and e. pallida) during pregnancy and lactation</w:t>
      </w:r>
    </w:p>
    <w:p w14:paraId="58F3135B" w14:textId="069D47BA" w:rsidR="00CB0288" w:rsidRDefault="00CB0288" w:rsidP="007E5FB9">
      <w:pPr>
        <w:rPr>
          <w:b/>
          <w:bCs/>
        </w:rPr>
      </w:pPr>
    </w:p>
    <w:p w14:paraId="5259C178" w14:textId="77777777" w:rsidR="005F0C93" w:rsidRPr="005F0C93" w:rsidRDefault="007E5FB9" w:rsidP="005F0C93">
      <w:pPr>
        <w:rPr>
          <w:b/>
          <w:bCs/>
        </w:rPr>
      </w:pPr>
      <w:r w:rsidRPr="007E5FB9">
        <w:rPr>
          <w:b/>
          <w:bCs/>
        </w:rPr>
        <w:t xml:space="preserve">PMID: </w:t>
      </w:r>
      <w:r w:rsidR="005F0C93" w:rsidRPr="005F0C93">
        <w:rPr>
          <w:b/>
          <w:bCs/>
        </w:rPr>
        <w:t>17085774</w:t>
      </w:r>
    </w:p>
    <w:p w14:paraId="5B0BC0BE" w14:textId="585FE8D7" w:rsidR="00CB0288" w:rsidRPr="005F0C93" w:rsidRDefault="00CB0288" w:rsidP="007E5FB9"/>
    <w:p w14:paraId="306714EA" w14:textId="77777777" w:rsidR="005F0C93" w:rsidRPr="005F0C93" w:rsidRDefault="007E5FB9" w:rsidP="005F0C93">
      <w:r w:rsidRPr="007E5FB9">
        <w:rPr>
          <w:b/>
          <w:bCs/>
        </w:rPr>
        <w:t xml:space="preserve">Metin: </w:t>
      </w:r>
      <w:r w:rsidR="005F0C93" w:rsidRPr="005F0C93">
        <w:t>Abstract</w:t>
      </w:r>
    </w:p>
    <w:p w14:paraId="7D9A21E1" w14:textId="77777777" w:rsidR="005F0C93" w:rsidRPr="005F0C93" w:rsidRDefault="005F0C93" w:rsidP="005F0C93">
      <w:r w:rsidRPr="005F0C93">
        <w:t xml:space="preserve">Background: There is a lack of basic knowledge on the part of both clinicians and patients as to the indications for use and safety of herbal medicines used in pregnancy </w:t>
      </w:r>
      <w:r w:rsidRPr="005F0C93">
        <w:lastRenderedPageBreak/>
        <w:t>and lactation. This is one article in a series that systematically reviews the evidence for commonly used herbs during pregnancy and lactation.</w:t>
      </w:r>
    </w:p>
    <w:p w14:paraId="1D12C2E1" w14:textId="77777777" w:rsidR="005F0C93" w:rsidRPr="005F0C93" w:rsidRDefault="005F0C93" w:rsidP="005F0C93">
      <w:r w:rsidRPr="005F0C93">
        <w:t>Objectives: To systematically review the literature for evidence on the use, safety, and pharmacology of echinacea focusing on issues pertaining to pregnancy and lactation.</w:t>
      </w:r>
    </w:p>
    <w:p w14:paraId="73CAFB3D" w14:textId="77777777" w:rsidR="005F0C93" w:rsidRPr="005F0C93" w:rsidRDefault="005F0C93" w:rsidP="005F0C93">
      <w:r w:rsidRPr="005F0C93">
        <w:t>Methods: We searched 7 electronic databases and compiled data according to the grade of evidence found.</w:t>
      </w:r>
    </w:p>
    <w:p w14:paraId="4D155AA1" w14:textId="77777777" w:rsidR="005F0C93" w:rsidRPr="005F0C93" w:rsidRDefault="005F0C93" w:rsidP="005F0C93">
      <w:r w:rsidRPr="005F0C93">
        <w:t>Results: There is good scientific evidence from a prospective cohort study that oral consumption of echinacea during the first trimester does not increase the risk for major malformations. Low-level evidence based on expert opinion shows that oral consumption of echinacea in recommended doses is safe for use during pregnancy and lactation.</w:t>
      </w:r>
    </w:p>
    <w:p w14:paraId="4742BBEA" w14:textId="77777777" w:rsidR="005F0C93" w:rsidRPr="005F0C93" w:rsidRDefault="005F0C93" w:rsidP="005F0C93">
      <w:r w:rsidRPr="005F0C93">
        <w:t>Conclusions: Echinacea is non-teratogenic when used during pregnancy. Caution with using Echinacea during lactation until further high quality human studies can determine its safety.</w:t>
      </w:r>
    </w:p>
    <w:p w14:paraId="65F7F723" w14:textId="662FC949" w:rsidR="007E5FB9" w:rsidRPr="007E5FB9" w:rsidRDefault="007E5FB9" w:rsidP="007E5FB9">
      <w:pPr>
        <w:rPr>
          <w:b/>
          <w:bCs/>
        </w:rPr>
      </w:pPr>
    </w:p>
    <w:p w14:paraId="2C79AED2" w14:textId="77777777" w:rsidR="005F0C93" w:rsidRPr="005F0C93" w:rsidRDefault="007E5FB9" w:rsidP="005F0C93">
      <w:pPr>
        <w:rPr>
          <w:b/>
          <w:bCs/>
        </w:rPr>
      </w:pPr>
      <w:r w:rsidRPr="007E5FB9">
        <w:rPr>
          <w:b/>
          <w:bCs/>
        </w:rPr>
        <w:t xml:space="preserve">Makale 2 </w:t>
      </w:r>
      <w:r w:rsidR="005F0C93" w:rsidRPr="005F0C93">
        <w:rPr>
          <w:b/>
          <w:bCs/>
        </w:rPr>
        <w:t>Review and Assessment of Medicinal Safety Data of Orally Used Echinacea Preparations</w:t>
      </w:r>
    </w:p>
    <w:p w14:paraId="06BDACAC" w14:textId="53346ECD" w:rsidR="00CB0288" w:rsidRPr="005F0C93" w:rsidRDefault="00CB0288" w:rsidP="007E5FB9"/>
    <w:p w14:paraId="1784211C" w14:textId="77777777" w:rsidR="005F0C93" w:rsidRPr="005F0C93" w:rsidRDefault="007E5FB9" w:rsidP="005F0C93">
      <w:pPr>
        <w:rPr>
          <w:b/>
          <w:bCs/>
        </w:rPr>
      </w:pPr>
      <w:r w:rsidRPr="007E5FB9">
        <w:rPr>
          <w:b/>
          <w:bCs/>
        </w:rPr>
        <w:t xml:space="preserve">PMID: </w:t>
      </w:r>
      <w:r w:rsidR="005F0C93" w:rsidRPr="005F0C93">
        <w:rPr>
          <w:b/>
          <w:bCs/>
        </w:rPr>
        <w:t>26441065</w:t>
      </w:r>
    </w:p>
    <w:p w14:paraId="5451B851" w14:textId="42F6F335" w:rsidR="00CB0288" w:rsidRDefault="007E5FB9" w:rsidP="007E5FB9">
      <w:pPr>
        <w:rPr>
          <w:b/>
          <w:bCs/>
        </w:rPr>
      </w:pPr>
      <w:r w:rsidRPr="007E5FB9">
        <w:rPr>
          <w:b/>
          <w:bCs/>
        </w:rPr>
        <w:t xml:space="preserve"> </w:t>
      </w:r>
    </w:p>
    <w:p w14:paraId="69500D7F" w14:textId="77777777" w:rsidR="005F0C93" w:rsidRPr="005F0C93" w:rsidRDefault="007E5FB9" w:rsidP="005F0C93">
      <w:r w:rsidRPr="007E5FB9">
        <w:rPr>
          <w:b/>
          <w:bCs/>
        </w:rPr>
        <w:t xml:space="preserve">Metin: </w:t>
      </w:r>
      <w:r w:rsidR="005F0C93" w:rsidRPr="005F0C93">
        <w:t>Abstract</w:t>
      </w:r>
    </w:p>
    <w:p w14:paraId="3F22BF65" w14:textId="77777777" w:rsidR="005F0C93" w:rsidRPr="005F0C93" w:rsidRDefault="005F0C93" w:rsidP="005F0C93">
      <w:r w:rsidRPr="005F0C93">
        <w:t xml:space="preserve">Echinacea purpurea, Echinacea angustifoli and Echinacea pallida are frequently used as medicinal plants. Besides asking for evidence on their efficacy, there is an increasing interest for safety data. This review systematically presents the available literature on drug interactions, contraindications, adverse events, duration of use, and safety of use in pregnant and nursing women, and assesses the safety profile of corresponding Echinacea preparations. It is noteworthy that all safety data reported are as product specific as the pharmacological or efficacy data are. In pharmacokinetic herb-drug interaction studies performed in vivo, no significant inhibitions of human CYP2D6 and CYP3A4 isoforms have been found after the administration of standardized E. purpurea preparations. However, contradictory results exist in studies using liver microsomes. Adverse events reported during clinical trials following administration of Echinacea spp. mono-preparations were generally mild and mostly without causality. Due to published long term studies with continuous ingestion of different Echinacea preparations up to 6 month with no reported toxicological concerns, Echinacea can be recommended also for long-term use. Moreover, the contraindications in cases of autoimmune diseases </w:t>
      </w:r>
      <w:r w:rsidRPr="005F0C93">
        <w:lastRenderedPageBreak/>
        <w:t>and immune-suppression are questionable, since lipophilic Echinacea preparations containing alkamides suppress cellular immune responses, and beneficial effects in autoimmunity were reported. The same applies for the use during pregnancy. Although there has been some impact reported on embryonic angiogenesis in mice, no association with an increased risk for major or minor malformations during organogenesis was found in a literature review. Altogether, the different evaluated Echinacea preparations are well-tolerated herbal medicines in the management in children and adults alike.</w:t>
      </w:r>
    </w:p>
    <w:p w14:paraId="0F5B6632" w14:textId="331552A5" w:rsidR="007E5FB9" w:rsidRPr="007E5FB9" w:rsidRDefault="007E5FB9" w:rsidP="007E5FB9">
      <w:pPr>
        <w:rPr>
          <w:b/>
          <w:bCs/>
        </w:rPr>
      </w:pPr>
      <w:r w:rsidRPr="007E5FB9">
        <w:rPr>
          <w:b/>
          <w:bCs/>
        </w:rPr>
        <w:t>Sıfır Riskli Alternatif: Üst solunum yolu enfeksiyonu semptomları için bağışıklığı aşırı uyarmayan Tuzlu Su (Salin) gargaraları veya okaliptüs buğusu.</w:t>
      </w:r>
    </w:p>
    <w:p w14:paraId="2F118683" w14:textId="77777777" w:rsidR="007E5FB9" w:rsidRDefault="007E5FB9" w:rsidP="007E5FB9">
      <w:pPr>
        <w:rPr>
          <w:b/>
          <w:bCs/>
        </w:rPr>
      </w:pPr>
    </w:p>
    <w:p w14:paraId="78F12C6D" w14:textId="77777777" w:rsidR="00CB0288" w:rsidRDefault="00CB0288" w:rsidP="007E5FB9">
      <w:pPr>
        <w:rPr>
          <w:b/>
          <w:bCs/>
        </w:rPr>
      </w:pPr>
    </w:p>
    <w:p w14:paraId="4BC3F28A" w14:textId="77777777" w:rsidR="007E5FB9" w:rsidRDefault="007E5FB9" w:rsidP="007E5FB9">
      <w:pPr>
        <w:rPr>
          <w:b/>
          <w:bCs/>
        </w:rPr>
      </w:pPr>
      <w:r w:rsidRPr="007E5FB9">
        <w:rPr>
          <w:b/>
          <w:bCs/>
        </w:rPr>
        <w:t>### BÖLÜM 8: KEDİ OTU (VALERIAN) ETKİLEŞİMLERİ Mekanizma: Merkezi Sinir Sistemi (CNS) baskılanması (Anestezikler, Alkol veya Benzodiazepinler ile aşırı sedasyon/solunum durması).</w:t>
      </w:r>
    </w:p>
    <w:p w14:paraId="08840205" w14:textId="77777777" w:rsidR="00A912F8" w:rsidRPr="007E5FB9" w:rsidRDefault="00A912F8" w:rsidP="007E5FB9">
      <w:pPr>
        <w:rPr>
          <w:b/>
          <w:bCs/>
        </w:rPr>
      </w:pPr>
    </w:p>
    <w:p w14:paraId="0BA5809A" w14:textId="77777777" w:rsidR="00A912F8" w:rsidRPr="00A912F8" w:rsidRDefault="007E5FB9" w:rsidP="00A912F8">
      <w:pPr>
        <w:rPr>
          <w:b/>
          <w:bCs/>
        </w:rPr>
      </w:pPr>
      <w:r w:rsidRPr="007E5FB9">
        <w:rPr>
          <w:b/>
          <w:bCs/>
        </w:rPr>
        <w:t>Makale 1</w:t>
      </w:r>
      <w:r w:rsidR="00A912F8">
        <w:rPr>
          <w:b/>
          <w:bCs/>
        </w:rPr>
        <w:t xml:space="preserve"> </w:t>
      </w:r>
      <w:r w:rsidR="00A912F8" w:rsidRPr="00A912F8">
        <w:rPr>
          <w:b/>
          <w:bCs/>
        </w:rPr>
        <w:t>Valerian Root in Treating Sleep Problems and Associated Disorders-A Systematic Review and Meta-Analysis</w:t>
      </w:r>
    </w:p>
    <w:p w14:paraId="237497D0" w14:textId="67435B46" w:rsidR="00CB0288" w:rsidRDefault="00CB0288" w:rsidP="007E5FB9">
      <w:pPr>
        <w:rPr>
          <w:b/>
          <w:bCs/>
        </w:rPr>
      </w:pPr>
    </w:p>
    <w:p w14:paraId="022B0567" w14:textId="77777777" w:rsidR="00A912F8" w:rsidRPr="00A912F8" w:rsidRDefault="00CB0288" w:rsidP="00A912F8">
      <w:pPr>
        <w:rPr>
          <w:b/>
          <w:bCs/>
        </w:rPr>
      </w:pPr>
      <w:r>
        <w:rPr>
          <w:b/>
          <w:bCs/>
        </w:rPr>
        <w:t>P</w:t>
      </w:r>
      <w:r w:rsidR="007E5FB9" w:rsidRPr="007E5FB9">
        <w:rPr>
          <w:b/>
          <w:bCs/>
        </w:rPr>
        <w:t xml:space="preserve">MID: </w:t>
      </w:r>
      <w:r w:rsidR="00A912F8" w:rsidRPr="00A912F8">
        <w:rPr>
          <w:b/>
          <w:bCs/>
        </w:rPr>
        <w:t>33086877</w:t>
      </w:r>
    </w:p>
    <w:p w14:paraId="0F3DB140" w14:textId="477AEEB9" w:rsidR="00CB0288" w:rsidRDefault="00CB0288" w:rsidP="007E5FB9">
      <w:pPr>
        <w:rPr>
          <w:b/>
          <w:bCs/>
        </w:rPr>
      </w:pPr>
    </w:p>
    <w:p w14:paraId="3BE4A8DE" w14:textId="77777777" w:rsidR="00A912F8" w:rsidRPr="00A912F8" w:rsidRDefault="007E5FB9" w:rsidP="00A912F8">
      <w:r w:rsidRPr="007E5FB9">
        <w:rPr>
          <w:b/>
          <w:bCs/>
        </w:rPr>
        <w:t xml:space="preserve">Metin: </w:t>
      </w:r>
      <w:r w:rsidR="00A912F8" w:rsidRPr="00A912F8">
        <w:t>Abstract</w:t>
      </w:r>
    </w:p>
    <w:p w14:paraId="4E2F3314" w14:textId="15A22EF4" w:rsidR="00A912F8" w:rsidRPr="00A912F8" w:rsidRDefault="00A912F8" w:rsidP="00A912F8">
      <w:r w:rsidRPr="00A912F8">
        <w:t>Sleep problems are widely prevalent and associated with various comorbidities including anxiety. Valerian (</w:t>
      </w:r>
      <w:r w:rsidRPr="00A912F8">
        <w:rPr>
          <w:i/>
          <w:iCs/>
        </w:rPr>
        <w:t>Valeriana officinalis</w:t>
      </w:r>
      <w:r w:rsidRPr="00A912F8">
        <w:t xml:space="preserve"> L.) is a popular herbal medicine used as a sleep aid, however the outcomes of previous clinical studies are inconsistent. This study was conducted to update and re-evaluate the available data in order to understand the reason behind the inconsistent outcomes and to provide a broader view of the use of valerian for associated disorders. PubMed, ScienceDirect, and Cochrane Library were searched to retrieve publications relevant to the effectiveness of valerian as a treatment of sleep problems and associated disorders. A total of 60 studies (n=6,894) were included in this review, and meta-analyses were performed to evaluate the effectiveness to improve subjective sleep quality (10 studies, n=1,065) and to reduce anxiety (8 studies, n=535). Results suggested that inconsistent outcomes were possibly due to the variable quality of herbal extracts and that more reliable effects could be expected from the whole root/rhizome. In addition, therapeutic benefits could be optimized when it was combined with appropriate herbal partners. There were no severe </w:t>
      </w:r>
      <w:r w:rsidRPr="00A912F8">
        <w:lastRenderedPageBreak/>
        <w:t>adverse events associated with valerian intake in subjects aged between 7 and 80 years. In conclusion, valerian could be a safe and effective herb to promote sleep and prevent associated disorders. However, due to the presence of multiple active constituents and relatively unstable nature of some of the active constituents, it may be necessary to revise the quality control processes, including standardization methods and shelf life.</w:t>
      </w:r>
      <w:r w:rsidRPr="00A912F8">
        <w:rPr>
          <w:rFonts w:ascii="Cambria" w:hAnsi="Cambria"/>
          <w:color w:val="1B1B1B"/>
          <w:sz w:val="28"/>
          <w:szCs w:val="28"/>
          <w:shd w:val="clear" w:color="auto" w:fill="FFFFFF"/>
        </w:rPr>
        <w:t xml:space="preserve"> </w:t>
      </w:r>
      <w:r w:rsidRPr="00A912F8">
        <w:t>According to the 1905 edition of King’s American dispensatory,</w:t>
      </w:r>
      <w:hyperlink r:id="rId5" w:anchor="bibr99-2515690X20967323" w:history="1">
        <w:r w:rsidRPr="00A912F8">
          <w:rPr>
            <w:rStyle w:val="Kpr"/>
            <w:vertAlign w:val="superscript"/>
          </w:rPr>
          <w:t>99</w:t>
        </w:r>
      </w:hyperlink>
      <w:r w:rsidRPr="00A912F8">
        <w:t> ‘valerian excites the cerebro-spinal system.’ and ‘in medicinal doses it acts as a stimulant-tonic,…’, which suggests that valerian is not a simple hypnotic or anxiolytic agent. In addition, the text continues that ‘The extract of valerian is worthless, but the fluid extract has been found to possess all the medicinal virtues of the root’,</w:t>
      </w:r>
      <w:hyperlink r:id="rId6" w:anchor="bibr99-2515690X20967323" w:history="1">
        <w:r w:rsidRPr="00A912F8">
          <w:rPr>
            <w:rStyle w:val="Kpr"/>
            <w:vertAlign w:val="superscript"/>
          </w:rPr>
          <w:t>99</w:t>
        </w:r>
      </w:hyperlink>
      <w:r w:rsidRPr="00A912F8">
        <w:t> suggesting that extraction methods could play a crucial role in preserving the therapeutic potency. Valerian has diverse chemical properties. As summarized in </w:t>
      </w:r>
      <w:hyperlink r:id="rId7" w:anchor="table3-2515690X20967323" w:history="1">
        <w:r w:rsidRPr="00A912F8">
          <w:rPr>
            <w:rStyle w:val="Kpr"/>
          </w:rPr>
          <w:t>Table 3</w:t>
        </w:r>
      </w:hyperlink>
      <w:r w:rsidRPr="00A912F8">
        <w:t>, the differences in polarity can lead to variability in the quality of valerian extracts depending on the extraction solvents. Our study has found that the hydroalcoholic extracts used in the clinical trials are variable with respect to the solvents (</w:t>
      </w:r>
      <w:hyperlink r:id="rId8" w:anchor="table4-2515690X20967323" w:history="1">
        <w:r w:rsidRPr="00A912F8">
          <w:rPr>
            <w:rStyle w:val="Kpr"/>
          </w:rPr>
          <w:t>Table 4</w:t>
        </w:r>
      </w:hyperlink>
      <w:r w:rsidRPr="00A912F8">
        <w:t>), and their phytochemical properties are not characterized in most cases. Furthermore, there is no information regarding the storage conditions such as temperature and storage period. Considering the low stability of some of the important active constituents,</w:t>
      </w:r>
      <w:hyperlink r:id="rId9" w:anchor="bibr98-2515690X20967323" w:history="1">
        <w:r w:rsidRPr="00A912F8">
          <w:rPr>
            <w:rStyle w:val="Kpr"/>
            <w:vertAlign w:val="superscript"/>
          </w:rPr>
          <w:t>98</w:t>
        </w:r>
      </w:hyperlink>
      <w:r w:rsidRPr="00A912F8">
        <w:rPr>
          <w:vertAlign w:val="superscript"/>
        </w:rPr>
        <w:t>,</w:t>
      </w:r>
      <w:hyperlink r:id="rId10" w:anchor="bibr142-2515690X20967323" w:history="1">
        <w:r w:rsidRPr="00A912F8">
          <w:rPr>
            <w:rStyle w:val="Kpr"/>
            <w:vertAlign w:val="superscript"/>
          </w:rPr>
          <w:t>142</w:t>
        </w:r>
      </w:hyperlink>
      <w:r w:rsidRPr="00A912F8">
        <w:t> it is unknown to what extent the active constituents had been preserved at the end of those trials. The absence of such information limits the discussion as to why some extracts were ineffective while others exhibited effectiveness in those clinical trials. Due to the multiple active constituents and complex mechanisms of actions (</w:t>
      </w:r>
      <w:hyperlink r:id="rId11" w:anchor="fig5-2515690X20967323" w:history="1">
        <w:r w:rsidRPr="00A912F8">
          <w:rPr>
            <w:rStyle w:val="Kpr"/>
          </w:rPr>
          <w:t>Figure 5</w:t>
        </w:r>
      </w:hyperlink>
      <w:r w:rsidRPr="00A912F8">
        <w:t>), it is imperative to use well characterized plant materials and extracts in the future clinical trials, in order for the evaluation of valerian’s true effectiveness to be possible.</w:t>
      </w:r>
    </w:p>
    <w:p w14:paraId="03C75C5D" w14:textId="77777777" w:rsidR="00A912F8" w:rsidRPr="00A912F8" w:rsidRDefault="00A912F8" w:rsidP="00A912F8">
      <w:pPr>
        <w:rPr>
          <w:b/>
          <w:bCs/>
        </w:rPr>
      </w:pPr>
      <w:r w:rsidRPr="00A912F8">
        <w:rPr>
          <w:b/>
          <w:bCs/>
        </w:rPr>
        <w:t>Keywords: anxiety; herbal medicine; insomnia; sleep; systematic review; valeriana officinalis.</w:t>
      </w:r>
    </w:p>
    <w:p w14:paraId="373C7B7D" w14:textId="122F03F3" w:rsidR="007E5FB9" w:rsidRPr="007E5FB9" w:rsidRDefault="007E5FB9" w:rsidP="007E5FB9">
      <w:pPr>
        <w:rPr>
          <w:b/>
          <w:bCs/>
        </w:rPr>
      </w:pPr>
    </w:p>
    <w:p w14:paraId="22527075" w14:textId="77777777" w:rsidR="00A912F8" w:rsidRPr="00A912F8" w:rsidRDefault="007E5FB9" w:rsidP="00A912F8">
      <w:pPr>
        <w:rPr>
          <w:b/>
          <w:bCs/>
        </w:rPr>
      </w:pPr>
      <w:r w:rsidRPr="007E5FB9">
        <w:rPr>
          <w:b/>
          <w:bCs/>
        </w:rPr>
        <w:t>Makale 2</w:t>
      </w:r>
      <w:r w:rsidR="00A912F8">
        <w:rPr>
          <w:b/>
          <w:bCs/>
        </w:rPr>
        <w:t xml:space="preserve"> </w:t>
      </w:r>
      <w:r w:rsidR="00A912F8" w:rsidRPr="00A912F8">
        <w:rPr>
          <w:b/>
          <w:bCs/>
        </w:rPr>
        <w:t>Valerian for anxiety disorders</w:t>
      </w:r>
    </w:p>
    <w:p w14:paraId="56A7A638" w14:textId="4FB102AF" w:rsidR="00CB0288" w:rsidRDefault="00CB0288" w:rsidP="007E5FB9">
      <w:pPr>
        <w:rPr>
          <w:b/>
          <w:bCs/>
        </w:rPr>
      </w:pPr>
    </w:p>
    <w:p w14:paraId="3BF972CC" w14:textId="60903364" w:rsidR="00A912F8" w:rsidRPr="00A912F8" w:rsidRDefault="00CB0288" w:rsidP="00A912F8">
      <w:pPr>
        <w:rPr>
          <w:b/>
          <w:bCs/>
        </w:rPr>
      </w:pPr>
      <w:r>
        <w:rPr>
          <w:b/>
          <w:bCs/>
        </w:rPr>
        <w:t>PMID:</w:t>
      </w:r>
      <w:r w:rsidR="00A912F8" w:rsidRPr="00A912F8">
        <w:rPr>
          <w:rFonts w:ascii="Segoe UI" w:eastAsia="Times New Roman" w:hAnsi="Segoe UI" w:cs="Segoe UI"/>
          <w:color w:val="212121"/>
          <w:kern w:val="0"/>
          <w:lang w:eastAsia="tr-TR"/>
          <w14:ligatures w14:val="none"/>
        </w:rPr>
        <w:t xml:space="preserve"> </w:t>
      </w:r>
      <w:r w:rsidR="00A912F8" w:rsidRPr="00A912F8">
        <w:rPr>
          <w:b/>
          <w:bCs/>
        </w:rPr>
        <w:t>17054208</w:t>
      </w:r>
    </w:p>
    <w:p w14:paraId="76673414" w14:textId="6BB5C490" w:rsidR="00CB0288" w:rsidRDefault="00CB0288" w:rsidP="007E5FB9">
      <w:pPr>
        <w:rPr>
          <w:b/>
          <w:bCs/>
        </w:rPr>
      </w:pPr>
    </w:p>
    <w:p w14:paraId="7BD8AB57" w14:textId="77777777" w:rsidR="00A912F8" w:rsidRPr="00A912F8" w:rsidRDefault="007E5FB9" w:rsidP="00A912F8">
      <w:r w:rsidRPr="007E5FB9">
        <w:rPr>
          <w:b/>
          <w:bCs/>
        </w:rPr>
        <w:t xml:space="preserve">Metin: </w:t>
      </w:r>
      <w:r w:rsidR="00A912F8" w:rsidRPr="00A912F8">
        <w:t>Abstract</w:t>
      </w:r>
    </w:p>
    <w:p w14:paraId="42321673" w14:textId="77777777" w:rsidR="00A912F8" w:rsidRPr="00A912F8" w:rsidRDefault="00A912F8" w:rsidP="00A912F8">
      <w:r w:rsidRPr="00A912F8">
        <w:t>Background: Anxiety disorders are very common mental health problems in the general population and in primary care settings. Herbal medicines are popular and used worldwide and might be considered as a treatment option for anxiety if shown to be effective and safe.</w:t>
      </w:r>
    </w:p>
    <w:p w14:paraId="16941EB5" w14:textId="77777777" w:rsidR="00A912F8" w:rsidRPr="00A912F8" w:rsidRDefault="00A912F8" w:rsidP="00A912F8">
      <w:r w:rsidRPr="00A912F8">
        <w:lastRenderedPageBreak/>
        <w:t>Objectives: To investigate the effectiveness and safety of valerian for treating anxiety disorders.</w:t>
      </w:r>
    </w:p>
    <w:p w14:paraId="4B6AD2EE" w14:textId="77777777" w:rsidR="00A912F8" w:rsidRPr="00A912F8" w:rsidRDefault="00A912F8" w:rsidP="00A912F8">
      <w:r w:rsidRPr="00A912F8">
        <w:t>Search strategy: Electronic searches: The Cochrane Collaboration Depression, Anxiety and Neurosis Cochrane Controlled Trials Register (CCDANCTR-Studies and CCDANCTR-References) searched on 04/08/2006, MEDLINE, Lilacs. References of all identified studies were inspected for additional studies. First authors of each included study, manufacturers of valerian products, and experts in the field were contacted for information regarding unpublished trials.</w:t>
      </w:r>
    </w:p>
    <w:p w14:paraId="5C2AD1BF" w14:textId="77777777" w:rsidR="00A912F8" w:rsidRPr="00A912F8" w:rsidRDefault="00A912F8" w:rsidP="00A912F8">
      <w:r w:rsidRPr="00A912F8">
        <w:t>Selection criteria: Randomised controlled trials (RCTs) and quasi-randomised trials of valerian extract of any dose, regime, or method of administration, for people with any primary diagnosis of general anxiety disorder, anxiety neurosis, chronic anxiety status, or any other disorder in which anxiety is the primary symptom (panic disorder, obsessive compulsive disorder, social phobia, agoraphobia, other types of phobia, postraumatic stress disorder). Effectiveness was measured using clinical outcome measures and other scales for anxiety symptoms.</w:t>
      </w:r>
    </w:p>
    <w:p w14:paraId="71BD6BB1" w14:textId="77777777" w:rsidR="00A912F8" w:rsidRPr="00A912F8" w:rsidRDefault="00A912F8" w:rsidP="00A912F8">
      <w:r w:rsidRPr="00A912F8">
        <w:t>Data collection and analysis: Two review authors independently applied inclusion criteria, extracted and entered data, and performed the trial quality assessments. Where disagreements occurred, the third review author was consulted. Methodological quality of included trials was assessed using Cochrane Handbook criteria. For dichotomous outcomes, relative risk (RR) was calculated, and for continuous outcomes, the weighted mean difference (WMD) was calculated, with their respective 95% confidence intervals.</w:t>
      </w:r>
    </w:p>
    <w:p w14:paraId="0AD9674E" w14:textId="77777777" w:rsidR="00A912F8" w:rsidRPr="00A912F8" w:rsidRDefault="00A912F8" w:rsidP="00A912F8">
      <w:r w:rsidRPr="00A912F8">
        <w:t>Main results: One RCT involving 36 patients wih generalised anxiety disorder was eligible for inclusion. This was a 4 week pilot study of valerian, diazepam and placebo. There were no significant differences between the valerian and placebo groups in HAM-A total scores, or in somatic and psychic factor scores. Similarly, there were no significant differences in HAM-A scores between the valerian and diazepam groups, although based on STAI-Trait scores, significantly greater symptom improvement was indicated in the diazepam group. There were no significant differences between the three groups in the number of patients reporting side effects or in dropout rates.</w:t>
      </w:r>
    </w:p>
    <w:p w14:paraId="515CD481" w14:textId="77777777" w:rsidR="00A912F8" w:rsidRPr="00A912F8" w:rsidRDefault="00A912F8" w:rsidP="00A912F8">
      <w:r w:rsidRPr="00A912F8">
        <w:t>Authors' conclusions: Since only one small study is currently available, there is insufficient evidence to draw any conclusions about the efficacy or safety of valerian compared with placebo or diazepam for anxiety disorders. RCTs involving larger samples and comparing valerian with placebo or other interventions used to treat of anxiety disorders, such as antidepressants, are needed.</w:t>
      </w:r>
    </w:p>
    <w:p w14:paraId="265A3EB5" w14:textId="71514967" w:rsidR="007E5FB9" w:rsidRPr="007E5FB9" w:rsidRDefault="007E5FB9" w:rsidP="007E5FB9">
      <w:pPr>
        <w:rPr>
          <w:b/>
          <w:bCs/>
        </w:rPr>
      </w:pPr>
    </w:p>
    <w:p w14:paraId="6F24667D" w14:textId="77777777" w:rsidR="007E5FB9" w:rsidRPr="007E5FB9" w:rsidRDefault="007E5FB9" w:rsidP="007E5FB9">
      <w:pPr>
        <w:rPr>
          <w:b/>
          <w:bCs/>
        </w:rPr>
      </w:pPr>
      <w:r w:rsidRPr="007E5FB9">
        <w:rPr>
          <w:b/>
          <w:bCs/>
        </w:rPr>
        <w:t>Sıfır Riskli Alternatif: Uyku problemi için ilaçlarla etkileşmeyen Melisa otu (Lemon balm - düşük doz) veya uyku hijyeni/nefes egzersizleri.</w:t>
      </w:r>
    </w:p>
    <w:p w14:paraId="309A4E75" w14:textId="77777777" w:rsidR="007E5FB9" w:rsidRDefault="007E5FB9" w:rsidP="007E5FB9">
      <w:pPr>
        <w:rPr>
          <w:b/>
          <w:bCs/>
        </w:rPr>
      </w:pPr>
    </w:p>
    <w:p w14:paraId="57F5BC31" w14:textId="77777777" w:rsidR="00CB0288" w:rsidRDefault="00CB0288" w:rsidP="007E5FB9">
      <w:pPr>
        <w:rPr>
          <w:b/>
          <w:bCs/>
        </w:rPr>
      </w:pPr>
    </w:p>
    <w:p w14:paraId="790218FD" w14:textId="77777777" w:rsidR="007E5FB9" w:rsidRDefault="007E5FB9" w:rsidP="007E5FB9">
      <w:pPr>
        <w:rPr>
          <w:b/>
          <w:bCs/>
        </w:rPr>
      </w:pPr>
      <w:r w:rsidRPr="007E5FB9">
        <w:rPr>
          <w:b/>
          <w:bCs/>
        </w:rPr>
        <w:t>### BÖLÜM 9: YEŞİL ÇAY EKSTRESİ (GREEN TEA EXTRACT) ETKİLEŞİMLERİ Mekanizma: İlaç emilimini bloke etme (Özellikle Nadolol gibi Beta-Bloker tansiyon ilaçlarının emilimini OATP1A2 enzimini bloke ederek engeller).</w:t>
      </w:r>
    </w:p>
    <w:p w14:paraId="12AAB6B8" w14:textId="77777777" w:rsidR="00A912F8" w:rsidRPr="007E5FB9" w:rsidRDefault="00A912F8" w:rsidP="007E5FB9">
      <w:pPr>
        <w:rPr>
          <w:b/>
          <w:bCs/>
        </w:rPr>
      </w:pPr>
    </w:p>
    <w:p w14:paraId="1A7EE8C8" w14:textId="77777777" w:rsidR="00A912F8" w:rsidRPr="00A912F8" w:rsidRDefault="007E5FB9" w:rsidP="00A912F8">
      <w:pPr>
        <w:rPr>
          <w:b/>
          <w:bCs/>
        </w:rPr>
      </w:pPr>
      <w:r w:rsidRPr="007E5FB9">
        <w:rPr>
          <w:b/>
          <w:bCs/>
        </w:rPr>
        <w:t xml:space="preserve">Makale 1 </w:t>
      </w:r>
      <w:r w:rsidR="00A912F8" w:rsidRPr="00A912F8">
        <w:rPr>
          <w:b/>
          <w:bCs/>
        </w:rPr>
        <w:t>Effect of tea on blood pressure for secondary prevention of cardiovascular disease: a systematic review and meta-analysis of randomized controlled trials</w:t>
      </w:r>
    </w:p>
    <w:p w14:paraId="33636CE3" w14:textId="11B50811" w:rsidR="00CB0288" w:rsidRDefault="00CB0288" w:rsidP="007E5FB9">
      <w:pPr>
        <w:rPr>
          <w:b/>
          <w:bCs/>
        </w:rPr>
      </w:pPr>
    </w:p>
    <w:p w14:paraId="2AA90C11" w14:textId="77777777" w:rsidR="00A912F8" w:rsidRPr="00A912F8" w:rsidRDefault="007E5FB9" w:rsidP="00A912F8">
      <w:pPr>
        <w:rPr>
          <w:b/>
          <w:bCs/>
        </w:rPr>
      </w:pPr>
      <w:r w:rsidRPr="007E5FB9">
        <w:rPr>
          <w:b/>
          <w:bCs/>
        </w:rPr>
        <w:t>PMID:</w:t>
      </w:r>
      <w:r w:rsidR="00A912F8">
        <w:rPr>
          <w:b/>
          <w:bCs/>
        </w:rPr>
        <w:t xml:space="preserve"> </w:t>
      </w:r>
      <w:r w:rsidR="00A912F8" w:rsidRPr="00A912F8">
        <w:rPr>
          <w:b/>
          <w:bCs/>
        </w:rPr>
        <w:t>26024546</w:t>
      </w:r>
    </w:p>
    <w:p w14:paraId="3FB1A41E" w14:textId="3240C503" w:rsidR="00CB0288" w:rsidRDefault="00CB0288" w:rsidP="007E5FB9">
      <w:pPr>
        <w:rPr>
          <w:b/>
          <w:bCs/>
        </w:rPr>
      </w:pPr>
    </w:p>
    <w:p w14:paraId="1D58C9C4" w14:textId="77777777" w:rsidR="00A912F8" w:rsidRPr="00A912F8" w:rsidRDefault="007E5FB9" w:rsidP="00A912F8">
      <w:r w:rsidRPr="007E5FB9">
        <w:rPr>
          <w:b/>
          <w:bCs/>
        </w:rPr>
        <w:t xml:space="preserve">Metin: </w:t>
      </w:r>
      <w:r w:rsidR="00A912F8" w:rsidRPr="00A912F8">
        <w:t>Abstract</w:t>
      </w:r>
    </w:p>
    <w:p w14:paraId="724116A1" w14:textId="77777777" w:rsidR="00A912F8" w:rsidRPr="00A912F8" w:rsidRDefault="00A912F8" w:rsidP="00A912F8">
      <w:r w:rsidRPr="00A912F8">
        <w:t>Context: Tea has been proposed as an antihypertensive agent for individuals with elevated blood pressure, yet the evidence for this has not been systematically reviewed to date.</w:t>
      </w:r>
    </w:p>
    <w:p w14:paraId="460E01B1" w14:textId="77777777" w:rsidR="00A912F8" w:rsidRPr="00A912F8" w:rsidRDefault="00A912F8" w:rsidP="00A912F8">
      <w:r w:rsidRPr="00A912F8">
        <w:t>Objective: The aim of this review was to evaluate the effects of tea on blood pressure in individuals within the prehypertensive and hypertensive blood pressure ranges.</w:t>
      </w:r>
    </w:p>
    <w:p w14:paraId="2263D006" w14:textId="77777777" w:rsidR="00A912F8" w:rsidRPr="00A912F8" w:rsidRDefault="00A912F8" w:rsidP="00A912F8">
      <w:r w:rsidRPr="00A912F8">
        <w:t>Data sources: The CENTRAL, PubMed, Embase, and Web of Science databases were searched for all relevant studies published from 1946 to September 27, 2013.</w:t>
      </w:r>
    </w:p>
    <w:p w14:paraId="6A303F28" w14:textId="77777777" w:rsidR="00A912F8" w:rsidRPr="00A912F8" w:rsidRDefault="00A912F8" w:rsidP="00A912F8">
      <w:r w:rsidRPr="00A912F8">
        <w:t>Study selection: The selection criteria included randomized controlled trials of adults whose blood pressure was within hypertensive or prehypertensive ranges and in which the applied intervention was green or black tea; controls consisting of placebo, minimal tea intervention, or no intervention; and a follow-up period of at least 2 months.</w:t>
      </w:r>
    </w:p>
    <w:p w14:paraId="57F3DE96" w14:textId="77777777" w:rsidR="00A912F8" w:rsidRPr="00A912F8" w:rsidRDefault="00A912F8" w:rsidP="00A912F8">
      <w:r w:rsidRPr="00A912F8">
        <w:t>Data extraction: Two reviewers independently extracted data on participants, interventions, comparators, outcomes, and study design. Mean differences (MDs) and 95% confidence intervals (95%CIs) were pooled to generate summary effect estimates.</w:t>
      </w:r>
    </w:p>
    <w:p w14:paraId="41AF0067" w14:textId="77777777" w:rsidR="00A912F8" w:rsidRPr="00A912F8" w:rsidRDefault="00A912F8" w:rsidP="00A912F8">
      <w:r w:rsidRPr="00A912F8">
        <w:t>Results: Meta-analyses of 10 trials (834 participants) showed statistically significant reductions in systolic blood pressure (MD -2.36 mmHg, 95%CI -4.20 to -0.52) and diastolic blood pressure (MD -1.77 mmHg, 95%CI -3.03 to -0.52) with tea consumption.</w:t>
      </w:r>
    </w:p>
    <w:p w14:paraId="71AF3613" w14:textId="77777777" w:rsidR="00A912F8" w:rsidRPr="00A912F8" w:rsidRDefault="00A912F8" w:rsidP="00A912F8">
      <w:r w:rsidRPr="00A912F8">
        <w:t>Conclusions: Consumption of green or black tea can reduce blood pressure in individuals within prehypertensive and hypertensive ranges, although further investigation with studies of longer duration and stronger methodological quality is warranted to confirm these findings.</w:t>
      </w:r>
    </w:p>
    <w:p w14:paraId="69BA5BC1" w14:textId="77777777" w:rsidR="00A912F8" w:rsidRPr="00A912F8" w:rsidRDefault="00A912F8" w:rsidP="00A912F8">
      <w:r w:rsidRPr="00A912F8">
        <w:lastRenderedPageBreak/>
        <w:t>Keywords: blood pressure; cardiovascular disease; hypertension; randomized control trials; tea.</w:t>
      </w:r>
    </w:p>
    <w:p w14:paraId="67955532" w14:textId="77777777" w:rsidR="00A912F8" w:rsidRPr="00A912F8" w:rsidRDefault="00A912F8" w:rsidP="00A912F8">
      <w:pPr>
        <w:rPr>
          <w:b/>
          <w:bCs/>
        </w:rPr>
      </w:pPr>
      <w:r>
        <w:rPr>
          <w:b/>
          <w:bCs/>
        </w:rPr>
        <w:t xml:space="preserve">Makale 2 </w:t>
      </w:r>
      <w:r w:rsidRPr="00A912F8">
        <w:rPr>
          <w:b/>
          <w:bCs/>
        </w:rPr>
        <w:t>Clinical pharmacokinetics of nadolol: A systematic review</w:t>
      </w:r>
    </w:p>
    <w:p w14:paraId="3A1429CA" w14:textId="77777777" w:rsidR="00A912F8" w:rsidRPr="00A912F8" w:rsidRDefault="00A912F8" w:rsidP="00A912F8">
      <w:pPr>
        <w:rPr>
          <w:b/>
          <w:bCs/>
        </w:rPr>
      </w:pPr>
      <w:r w:rsidRPr="00A912F8">
        <w:rPr>
          <w:b/>
          <w:bCs/>
        </w:rPr>
        <w:t>PMID: 36040016</w:t>
      </w:r>
    </w:p>
    <w:p w14:paraId="73579220" w14:textId="03C50D1A" w:rsidR="00A912F8" w:rsidRPr="00A912F8" w:rsidRDefault="00A912F8" w:rsidP="00A912F8">
      <w:r w:rsidRPr="007E5FB9">
        <w:rPr>
          <w:b/>
          <w:bCs/>
        </w:rPr>
        <w:t>Metin:</w:t>
      </w:r>
      <w:r w:rsidRPr="00A912F8">
        <w:rPr>
          <w:rFonts w:ascii="Merriweather" w:eastAsia="Times New Roman" w:hAnsi="Merriweather" w:cs="Times New Roman"/>
          <w:b/>
          <w:bCs/>
          <w:color w:val="212121"/>
          <w:kern w:val="0"/>
          <w:sz w:val="36"/>
          <w:szCs w:val="36"/>
          <w:lang w:eastAsia="tr-TR"/>
          <w14:ligatures w14:val="none"/>
        </w:rPr>
        <w:t xml:space="preserve"> </w:t>
      </w:r>
      <w:r w:rsidRPr="00A912F8">
        <w:t>Abstract</w:t>
      </w:r>
    </w:p>
    <w:p w14:paraId="018DD442" w14:textId="77777777" w:rsidR="00A912F8" w:rsidRPr="00A912F8" w:rsidRDefault="00A912F8" w:rsidP="00A912F8">
      <w:r w:rsidRPr="00A912F8">
        <w:t>What is known and objective: Nadolol is a non-selective beta-adrenergic antagonist that is used for the treatment of hypertension and angina. The primary route for its administration is oral. It is given once daily as it has a longer half-life (t½). The purpose of conducting this systematic review is to provide a comprehensive view of all the available pharmacokinetic (PK) data on nadolol in humans. This review aimed to systematically collate and analyze publish data on the clinical PK of nadolol in humans and this can be beneficial for the clinicians in dosage adjustments.</w:t>
      </w:r>
    </w:p>
    <w:p w14:paraId="39149A8E" w14:textId="77777777" w:rsidR="00A912F8" w:rsidRPr="00A912F8" w:rsidRDefault="00A912F8" w:rsidP="00A912F8">
      <w:r w:rsidRPr="00A912F8">
        <w:t>Methods: Two electronic databases PubMed and Google Scholar were used for conducting a systematic literature search. All the relevant articles containing PK data of nadolol in humans were retrieved. A total of 1275 articles were searched from both databases and after applying eligibility criteria finally, 22 articles were included for conducting the systematic review.</w:t>
      </w:r>
    </w:p>
    <w:p w14:paraId="667A045D" w14:textId="77777777" w:rsidR="00A912F8" w:rsidRPr="00A912F8" w:rsidRDefault="00A912F8" w:rsidP="00A912F8">
      <w:r w:rsidRPr="00A912F8">
        <w:t>Results and discussion: The area under the plasma concentration curve (AUC) and maximum plasma concentration (C</w:t>
      </w:r>
      <w:r w:rsidRPr="00A912F8">
        <w:rPr>
          <w:vertAlign w:val="subscript"/>
        </w:rPr>
        <w:t>max</w:t>
      </w:r>
      <w:r w:rsidRPr="00A912F8">
        <w:t> ) of nadolol increased in a dose-dependent manner. The t½ of nadolol was increased to double (18.2-68.6 h) in the patients with chronic kidney disease while the serum t½ became shorter (3.2-4.3 h) when administered to the children. The bioavailability of nadolol was greatly reduced by the coadministration of green tea. Nadolol can be effectively removed by hemodialysis. It undergoes enterohepatic circulation thus activated charcoal decreased its bioavailability.</w:t>
      </w:r>
    </w:p>
    <w:p w14:paraId="720653BA" w14:textId="77777777" w:rsidR="00A912F8" w:rsidRPr="00A912F8" w:rsidRDefault="00A912F8" w:rsidP="00A912F8">
      <w:r w:rsidRPr="00A912F8">
        <w:t>What is new and conclusion: Since, there is no previous report of a systematic review on the PK of nadolol, the current review encompasses all the relevant published articles on nadolol in humans. The analysis and understanding of PK parameters (AUC, C</w:t>
      </w:r>
      <w:r w:rsidRPr="00A912F8">
        <w:rPr>
          <w:vertAlign w:val="subscript"/>
        </w:rPr>
        <w:t>max</w:t>
      </w:r>
      <w:r w:rsidRPr="00A912F8">
        <w:t> , and t½) of nadolol may be helpful in the development and evaluation of PK models.</w:t>
      </w:r>
    </w:p>
    <w:p w14:paraId="77C6EEA5" w14:textId="77777777" w:rsidR="00A912F8" w:rsidRPr="00A912F8" w:rsidRDefault="00A912F8" w:rsidP="00A912F8">
      <w:r w:rsidRPr="00A912F8">
        <w:t>Keywords: PK-parameters; clearance; humans; nadolol; pharmacokinetics.</w:t>
      </w:r>
    </w:p>
    <w:p w14:paraId="6085A256" w14:textId="25BE1552" w:rsidR="007E5FB9" w:rsidRPr="007E5FB9" w:rsidRDefault="007E5FB9" w:rsidP="007E5FB9">
      <w:pPr>
        <w:rPr>
          <w:b/>
          <w:bCs/>
        </w:rPr>
      </w:pPr>
    </w:p>
    <w:p w14:paraId="47C33503" w14:textId="77777777" w:rsidR="007E5FB9" w:rsidRDefault="007E5FB9" w:rsidP="007E5FB9">
      <w:pPr>
        <w:rPr>
          <w:b/>
          <w:bCs/>
        </w:rPr>
      </w:pPr>
    </w:p>
    <w:p w14:paraId="1E616260" w14:textId="77777777" w:rsidR="007E5FB9" w:rsidRPr="007E5FB9" w:rsidRDefault="007E5FB9" w:rsidP="007E5FB9">
      <w:pPr>
        <w:rPr>
          <w:b/>
          <w:bCs/>
        </w:rPr>
      </w:pPr>
      <w:r w:rsidRPr="007E5FB9">
        <w:rPr>
          <w:b/>
          <w:bCs/>
        </w:rPr>
        <w:t>### BÖLÜM 10: SİNAMEKİ (SENNA) ETKİLEŞİMLERİ Mekanizma: Aşırı laksatif etkiye bağlı elektrolit (Potasyum) kaybı (Kalp yetmezliği ilacı Digoksin'in toksisitesini ölümcül seviyeye çıkarır).</w:t>
      </w:r>
    </w:p>
    <w:p w14:paraId="0873471F" w14:textId="77777777" w:rsidR="005F0C93" w:rsidRPr="005F0C93" w:rsidRDefault="007E5FB9" w:rsidP="005F0C93">
      <w:pPr>
        <w:rPr>
          <w:b/>
          <w:bCs/>
        </w:rPr>
      </w:pPr>
      <w:r w:rsidRPr="007E5FB9">
        <w:rPr>
          <w:b/>
          <w:bCs/>
        </w:rPr>
        <w:lastRenderedPageBreak/>
        <w:t xml:space="preserve">Makale 1 </w:t>
      </w:r>
      <w:r w:rsidR="005F0C93" w:rsidRPr="005F0C93">
        <w:rPr>
          <w:b/>
          <w:bCs/>
        </w:rPr>
        <w:t>Chemistry and biological activity of resin glycosides from Convolvulaceae species</w:t>
      </w:r>
    </w:p>
    <w:p w14:paraId="5E422069" w14:textId="497C14AD" w:rsidR="00CB0288" w:rsidRDefault="00CB0288" w:rsidP="007E5FB9">
      <w:pPr>
        <w:rPr>
          <w:b/>
          <w:bCs/>
        </w:rPr>
      </w:pPr>
    </w:p>
    <w:p w14:paraId="204799AE" w14:textId="77777777" w:rsidR="005F0C93" w:rsidRPr="005F0C93" w:rsidRDefault="005F0C93" w:rsidP="005F0C93">
      <w:pPr>
        <w:rPr>
          <w:b/>
          <w:bCs/>
        </w:rPr>
      </w:pPr>
      <w:r w:rsidRPr="005F0C93">
        <w:rPr>
          <w:b/>
          <w:bCs/>
        </w:rPr>
        <w:t>PMID: 35707917</w:t>
      </w:r>
    </w:p>
    <w:p w14:paraId="4C4518B3" w14:textId="77777777" w:rsidR="005F0C93" w:rsidRPr="005F0C93" w:rsidRDefault="007E5FB9" w:rsidP="005F0C93">
      <w:r w:rsidRPr="007E5FB9">
        <w:rPr>
          <w:b/>
          <w:bCs/>
        </w:rPr>
        <w:t>Metin</w:t>
      </w:r>
      <w:r w:rsidRPr="007E5FB9">
        <w:t xml:space="preserve">: </w:t>
      </w:r>
      <w:r w:rsidR="005F0C93" w:rsidRPr="005F0C93">
        <w:t>Abstract</w:t>
      </w:r>
    </w:p>
    <w:p w14:paraId="11D17966" w14:textId="77777777" w:rsidR="005F0C93" w:rsidRPr="005F0C93" w:rsidRDefault="005F0C93" w:rsidP="005F0C93">
      <w:r w:rsidRPr="005F0C93">
        <w:t>Carbohydrate-based drug discovery has gained more and more attention during the last few decades. Resin glycoside is a kind of novel and complex glycolipids mainly distributed in plants of the family Convolvulaceae. Over the last decade, a number of natural resin glycosides and derivatives have been isolated and identified, and exhibited a broad spectrum of biological activities, such as cytotoxic, multidrug-resistant reversal on both microbial pathogens and mammalian cancer cells, antivirus, anticonvulsant, antidepressant, sedative, vasorelaxant, laxative, and α-glucosidase inhibitory effects, indicating their potential as lead compounds for drug discovery. A systematic review of the literature studies was carried out to summarize the chemistry and biological activity of resin glycosides from Convolvulaceae species, based on various data sources such as PubMed, Web of Science, Scopus, and Google scholar. The keyword "Convolvulaceae" was paired with "resin glycoside," "glycosidic acid," "glycolipid," or "oligosaccharide," and the references published between 2009 and June 2021 were covered. In this article, we comprehensively reviewed the structures of 288 natural resin glycoside and derivatives newly reported in the last decade. Moreover, we summarized the biological activities and mechanisms of action of the resin glycosides with pharmaceutical potential. Taken together, great progress has been made on the chemistry and biological activity of resin glycosides from Convolvulaceae species, however, more exploratory research is still needed, especially on the mechanism of action of the biological activities.</w:t>
      </w:r>
    </w:p>
    <w:p w14:paraId="2C2B06E3" w14:textId="77777777" w:rsidR="005F0C93" w:rsidRPr="005F0C93" w:rsidRDefault="005F0C93" w:rsidP="005F0C93">
      <w:r w:rsidRPr="005F0C93">
        <w:t>Keywords: biological activities; carbohydrate drugs; glycolipids; resin glycosides; structural diversity.</w:t>
      </w:r>
    </w:p>
    <w:p w14:paraId="1907B11A" w14:textId="09B3FB39" w:rsidR="007E5FB9" w:rsidRPr="007E5FB9" w:rsidRDefault="007E5FB9" w:rsidP="007E5FB9">
      <w:pPr>
        <w:rPr>
          <w:b/>
          <w:bCs/>
        </w:rPr>
      </w:pPr>
    </w:p>
    <w:p w14:paraId="65BF5BE8" w14:textId="00C54D67" w:rsidR="00CB0288" w:rsidRDefault="007E5FB9" w:rsidP="007E5FB9">
      <w:pPr>
        <w:rPr>
          <w:b/>
          <w:bCs/>
        </w:rPr>
      </w:pPr>
      <w:r w:rsidRPr="007E5FB9">
        <w:rPr>
          <w:b/>
          <w:bCs/>
        </w:rPr>
        <w:t xml:space="preserve">Makale 2 </w:t>
      </w:r>
      <w:r w:rsidR="005F0C93" w:rsidRPr="005F0C93">
        <w:rPr>
          <w:b/>
          <w:bCs/>
        </w:rPr>
        <w:t>Ogilvie Syndrome Secondary Due To Underlying Hypokalaemia And Anticholinergics: Case Report And Brief Review Of The Literature</w:t>
      </w:r>
    </w:p>
    <w:p w14:paraId="565BD2B6" w14:textId="77777777" w:rsidR="005F0C93" w:rsidRDefault="005F0C93" w:rsidP="007E5FB9">
      <w:pPr>
        <w:rPr>
          <w:b/>
          <w:bCs/>
        </w:rPr>
      </w:pPr>
    </w:p>
    <w:p w14:paraId="577A8FF6" w14:textId="77777777" w:rsidR="005F0C93" w:rsidRPr="005F0C93" w:rsidRDefault="005F0C93" w:rsidP="005F0C93">
      <w:pPr>
        <w:rPr>
          <w:b/>
          <w:bCs/>
        </w:rPr>
      </w:pPr>
      <w:r w:rsidRPr="005F0C93">
        <w:rPr>
          <w:b/>
          <w:bCs/>
        </w:rPr>
        <w:t>PMID: 38013547</w:t>
      </w:r>
    </w:p>
    <w:p w14:paraId="6768266D" w14:textId="77777777" w:rsidR="005F0C93" w:rsidRPr="005F0C93" w:rsidRDefault="007E5FB9" w:rsidP="005F0C93">
      <w:r w:rsidRPr="007E5FB9">
        <w:rPr>
          <w:b/>
          <w:bCs/>
        </w:rPr>
        <w:t xml:space="preserve">Metin: </w:t>
      </w:r>
      <w:r w:rsidR="005F0C93" w:rsidRPr="005F0C93">
        <w:t>Abstract</w:t>
      </w:r>
    </w:p>
    <w:p w14:paraId="2197083B" w14:textId="77777777" w:rsidR="005F0C93" w:rsidRPr="005F0C93" w:rsidRDefault="005F0C93" w:rsidP="005F0C93">
      <w:r w:rsidRPr="005F0C93">
        <w:t xml:space="preserve">Ogilvie's syndrome is a rare but potentially life-threatening condition characterised by massive dilation of the colon without a mechanical obstruction. It typically affects older adults and those with underlying medical conditions, such as neurological or </w:t>
      </w:r>
      <w:r w:rsidRPr="005F0C93">
        <w:lastRenderedPageBreak/>
        <w:t>cardiovascular diseases, and may result in severe complications such as perforation or sepsis. Diagnosis is based on clinical presentation and radiological studies, and treatment involves a combination of conservative measures, such as bowel rest and pharmacological agents, and interventional procedures, such as endoscopic decompression or surgery. Here we present the case of a 67 year old male who presented with Ogilvie's syndrome after changes in his antipsychotic medications. He was given laxatives which led to persistent hypokalemia contributing to worsening distention. This case report highlights the important aspects in management such as cautious use of secretory laxatives (causing worsening Hypokalemia) and combination of motility agents in pseudo colonic obstruction.</w:t>
      </w:r>
    </w:p>
    <w:p w14:paraId="3A2370BD" w14:textId="77777777" w:rsidR="005F0C93" w:rsidRPr="005F0C93" w:rsidRDefault="005F0C93" w:rsidP="005F0C93">
      <w:r w:rsidRPr="005F0C93">
        <w:t>Keywords: Ogilvie Syndrome, Hypokalemia, Anticholinergic Agents Gastrointestinal Motility Disorders..</w:t>
      </w:r>
    </w:p>
    <w:p w14:paraId="5721FD13" w14:textId="7CA8CA10" w:rsidR="007E5FB9" w:rsidRPr="007E5FB9" w:rsidRDefault="007E5FB9" w:rsidP="007E5FB9">
      <w:pPr>
        <w:rPr>
          <w:b/>
          <w:bCs/>
        </w:rPr>
      </w:pPr>
    </w:p>
    <w:p w14:paraId="4DF69872" w14:textId="77777777" w:rsidR="007E5FB9" w:rsidRPr="007E5FB9" w:rsidRDefault="007E5FB9" w:rsidP="007E5FB9">
      <w:pPr>
        <w:rPr>
          <w:b/>
          <w:bCs/>
        </w:rPr>
      </w:pPr>
      <w:r w:rsidRPr="007E5FB9">
        <w:rPr>
          <w:b/>
          <w:bCs/>
        </w:rPr>
        <w:t>Sıfır Riskli Alternatif: Kabızlık için elektrolit dengesini bozmayan Lifli gıdalar (Psyllium husk / Karnıyarık otu tozu) veya bol su.</w:t>
      </w:r>
    </w:p>
    <w:p w14:paraId="31B77517" w14:textId="77777777" w:rsidR="007E5FB9" w:rsidRPr="007E5FB9" w:rsidRDefault="007E5FB9" w:rsidP="007E5FB9">
      <w:pPr>
        <w:rPr>
          <w:b/>
          <w:bCs/>
        </w:rPr>
      </w:pPr>
    </w:p>
    <w:p w14:paraId="7AAE945B" w14:textId="39EF898C" w:rsidR="008D33B4" w:rsidRPr="008D33B4" w:rsidRDefault="008D33B4" w:rsidP="007E5FB9">
      <w:pPr>
        <w:rPr>
          <w:b/>
          <w:bCs/>
        </w:rPr>
      </w:pPr>
    </w:p>
    <w:sectPr w:rsidR="008D33B4" w:rsidRPr="008D33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erriweather">
    <w:charset w:val="A2"/>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0175A"/>
    <w:multiLevelType w:val="multilevel"/>
    <w:tmpl w:val="094E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32D2B"/>
    <w:multiLevelType w:val="multilevel"/>
    <w:tmpl w:val="2D38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E73E0"/>
    <w:multiLevelType w:val="multilevel"/>
    <w:tmpl w:val="69CE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56B92"/>
    <w:multiLevelType w:val="multilevel"/>
    <w:tmpl w:val="3E6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304F7"/>
    <w:multiLevelType w:val="multilevel"/>
    <w:tmpl w:val="482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1735F"/>
    <w:multiLevelType w:val="multilevel"/>
    <w:tmpl w:val="9DFA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43508"/>
    <w:multiLevelType w:val="multilevel"/>
    <w:tmpl w:val="6DF2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702EE"/>
    <w:multiLevelType w:val="multilevel"/>
    <w:tmpl w:val="301E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1037E"/>
    <w:multiLevelType w:val="multilevel"/>
    <w:tmpl w:val="66CC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D66F3"/>
    <w:multiLevelType w:val="multilevel"/>
    <w:tmpl w:val="8DFC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B5F8E"/>
    <w:multiLevelType w:val="multilevel"/>
    <w:tmpl w:val="0A14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340A27"/>
    <w:multiLevelType w:val="multilevel"/>
    <w:tmpl w:val="5F2E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21381"/>
    <w:multiLevelType w:val="multilevel"/>
    <w:tmpl w:val="CC66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B5805"/>
    <w:multiLevelType w:val="multilevel"/>
    <w:tmpl w:val="FE00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27B2C"/>
    <w:multiLevelType w:val="multilevel"/>
    <w:tmpl w:val="3CC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A36F3F"/>
    <w:multiLevelType w:val="multilevel"/>
    <w:tmpl w:val="4550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24979"/>
    <w:multiLevelType w:val="multilevel"/>
    <w:tmpl w:val="B8A0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340092">
    <w:abstractNumId w:val="6"/>
  </w:num>
  <w:num w:numId="2" w16cid:durableId="1448769638">
    <w:abstractNumId w:val="2"/>
  </w:num>
  <w:num w:numId="3" w16cid:durableId="879129083">
    <w:abstractNumId w:val="14"/>
  </w:num>
  <w:num w:numId="4" w16cid:durableId="1569420803">
    <w:abstractNumId w:val="0"/>
  </w:num>
  <w:num w:numId="5" w16cid:durableId="1509249093">
    <w:abstractNumId w:val="9"/>
  </w:num>
  <w:num w:numId="6" w16cid:durableId="1547527610">
    <w:abstractNumId w:val="10"/>
  </w:num>
  <w:num w:numId="7" w16cid:durableId="1890991169">
    <w:abstractNumId w:val="12"/>
  </w:num>
  <w:num w:numId="8" w16cid:durableId="1825202545">
    <w:abstractNumId w:val="5"/>
  </w:num>
  <w:num w:numId="9" w16cid:durableId="1815679920">
    <w:abstractNumId w:val="3"/>
  </w:num>
  <w:num w:numId="10" w16cid:durableId="1449541908">
    <w:abstractNumId w:val="1"/>
  </w:num>
  <w:num w:numId="11" w16cid:durableId="1008751760">
    <w:abstractNumId w:val="4"/>
  </w:num>
  <w:num w:numId="12" w16cid:durableId="1832211051">
    <w:abstractNumId w:val="13"/>
  </w:num>
  <w:num w:numId="13" w16cid:durableId="1167399458">
    <w:abstractNumId w:val="15"/>
  </w:num>
  <w:num w:numId="14" w16cid:durableId="1678190886">
    <w:abstractNumId w:val="8"/>
  </w:num>
  <w:num w:numId="15" w16cid:durableId="388111250">
    <w:abstractNumId w:val="11"/>
  </w:num>
  <w:num w:numId="16" w16cid:durableId="1342858458">
    <w:abstractNumId w:val="7"/>
  </w:num>
  <w:num w:numId="17" w16cid:durableId="4184794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C8"/>
    <w:rsid w:val="00480637"/>
    <w:rsid w:val="005F0C93"/>
    <w:rsid w:val="007E5FB9"/>
    <w:rsid w:val="008D33B4"/>
    <w:rsid w:val="00923E9E"/>
    <w:rsid w:val="00A912F8"/>
    <w:rsid w:val="00CB0288"/>
    <w:rsid w:val="00CE36C8"/>
    <w:rsid w:val="00D0670A"/>
    <w:rsid w:val="00ED5E1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67F58"/>
  <w15:chartTrackingRefBased/>
  <w15:docId w15:val="{F5617EDC-631B-4247-8E4C-89E5D6C56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E3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E3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E36C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E36C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E36C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E36C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E36C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E36C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E36C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E36C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E36C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E36C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E36C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E36C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E36C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E36C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E36C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E36C8"/>
    <w:rPr>
      <w:rFonts w:eastAsiaTheme="majorEastAsia" w:cstheme="majorBidi"/>
      <w:color w:val="272727" w:themeColor="text1" w:themeTint="D8"/>
    </w:rPr>
  </w:style>
  <w:style w:type="paragraph" w:styleId="KonuBal">
    <w:name w:val="Title"/>
    <w:basedOn w:val="Normal"/>
    <w:next w:val="Normal"/>
    <w:link w:val="KonuBalChar"/>
    <w:uiPriority w:val="10"/>
    <w:qFormat/>
    <w:rsid w:val="00CE3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E36C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E36C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E36C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E36C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E36C8"/>
    <w:rPr>
      <w:i/>
      <w:iCs/>
      <w:color w:val="404040" w:themeColor="text1" w:themeTint="BF"/>
    </w:rPr>
  </w:style>
  <w:style w:type="paragraph" w:styleId="ListeParagraf">
    <w:name w:val="List Paragraph"/>
    <w:basedOn w:val="Normal"/>
    <w:uiPriority w:val="34"/>
    <w:qFormat/>
    <w:rsid w:val="00CE36C8"/>
    <w:pPr>
      <w:ind w:left="720"/>
      <w:contextualSpacing/>
    </w:pPr>
  </w:style>
  <w:style w:type="character" w:styleId="GlVurgulama">
    <w:name w:val="Intense Emphasis"/>
    <w:basedOn w:val="VarsaylanParagrafYazTipi"/>
    <w:uiPriority w:val="21"/>
    <w:qFormat/>
    <w:rsid w:val="00CE36C8"/>
    <w:rPr>
      <w:i/>
      <w:iCs/>
      <w:color w:val="0F4761" w:themeColor="accent1" w:themeShade="BF"/>
    </w:rPr>
  </w:style>
  <w:style w:type="paragraph" w:styleId="GlAlnt">
    <w:name w:val="Intense Quote"/>
    <w:basedOn w:val="Normal"/>
    <w:next w:val="Normal"/>
    <w:link w:val="GlAlntChar"/>
    <w:uiPriority w:val="30"/>
    <w:qFormat/>
    <w:rsid w:val="00CE3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E36C8"/>
    <w:rPr>
      <w:i/>
      <w:iCs/>
      <w:color w:val="0F4761" w:themeColor="accent1" w:themeShade="BF"/>
    </w:rPr>
  </w:style>
  <w:style w:type="character" w:styleId="GlBavuru">
    <w:name w:val="Intense Reference"/>
    <w:basedOn w:val="VarsaylanParagrafYazTipi"/>
    <w:uiPriority w:val="32"/>
    <w:qFormat/>
    <w:rsid w:val="00CE36C8"/>
    <w:rPr>
      <w:b/>
      <w:bCs/>
      <w:smallCaps/>
      <w:color w:val="0F4761" w:themeColor="accent1" w:themeShade="BF"/>
      <w:spacing w:val="5"/>
    </w:rPr>
  </w:style>
  <w:style w:type="character" w:styleId="Kpr">
    <w:name w:val="Hyperlink"/>
    <w:basedOn w:val="VarsaylanParagrafYazTipi"/>
    <w:uiPriority w:val="99"/>
    <w:unhideWhenUsed/>
    <w:rsid w:val="00A912F8"/>
    <w:rPr>
      <w:color w:val="467886" w:themeColor="hyperlink"/>
      <w:u w:val="single"/>
    </w:rPr>
  </w:style>
  <w:style w:type="character" w:styleId="zmlenmeyenBahsetme">
    <w:name w:val="Unresolved Mention"/>
    <w:basedOn w:val="VarsaylanParagrafYazTipi"/>
    <w:uiPriority w:val="99"/>
    <w:semiHidden/>
    <w:unhideWhenUsed/>
    <w:rsid w:val="00A91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758590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mc.ncbi.nlm.nih.gov/articles/PMC758590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7585905/" TargetMode="External"/><Relationship Id="rId11" Type="http://schemas.openxmlformats.org/officeDocument/2006/relationships/hyperlink" Target="https://pmc.ncbi.nlm.nih.gov/articles/PMC7585905/" TargetMode="External"/><Relationship Id="rId5" Type="http://schemas.openxmlformats.org/officeDocument/2006/relationships/hyperlink" Target="https://pmc.ncbi.nlm.nih.gov/articles/PMC7585905/" TargetMode="External"/><Relationship Id="rId10" Type="http://schemas.openxmlformats.org/officeDocument/2006/relationships/hyperlink" Target="https://pmc.ncbi.nlm.nih.gov/articles/PMC7585905/" TargetMode="External"/><Relationship Id="rId4" Type="http://schemas.openxmlformats.org/officeDocument/2006/relationships/webSettings" Target="webSettings.xml"/><Relationship Id="rId9" Type="http://schemas.openxmlformats.org/officeDocument/2006/relationships/hyperlink" Target="https://pmc.ncbi.nlm.nih.gov/articles/PMC7585905/"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20</Pages>
  <Words>6525</Words>
  <Characters>37199</Characters>
  <Application>Microsoft Office Word</Application>
  <DocSecurity>0</DocSecurity>
  <Lines>309</Lines>
  <Paragraphs>87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Ahmet Sıbıç</dc:creator>
  <cp:keywords/>
  <dc:description/>
  <cp:lastModifiedBy>Taha Ahmet Sıbıç</cp:lastModifiedBy>
  <cp:revision>2</cp:revision>
  <dcterms:created xsi:type="dcterms:W3CDTF">2026-03-14T23:20:00Z</dcterms:created>
  <dcterms:modified xsi:type="dcterms:W3CDTF">2026-03-15T00:18:00Z</dcterms:modified>
</cp:coreProperties>
</file>