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B365D"/>
          <w:sz w:val="36"/>
        </w:rPr>
        <w:t>DeceptionNet: An Architectural Framework for Multi-Honeypot Active Defense, Deterministic ATT&amp;CK Attribution, and Post-Capture Threat Intelligence</w:t>
      </w:r>
    </w:p>
    <w:p>
      <w:pPr>
        <w:spacing w:after="360"/>
        <w:jc w:val="center"/>
      </w:pPr>
      <w:r>
        <w:rPr>
          <w:i/>
          <w:color w:val="555555"/>
          <w:sz w:val="20"/>
        </w:rPr>
        <w:t>Undergraduate Capstone Engineering Manuscript &amp; Technical Demonstration Report</w:t>
        <w:br/>
        <w:t>Target Track: Student Systems / Academic Security Workshop</w:t>
        <w:br/>
        <w:t>Repository: https://github.com/Pi25sh/DeceptionNet</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80"/>
            </w:pPr>
            <w:r>
              <w:rPr>
                <w:b/>
              </w:rPr>
              <w:t>Abstract—</w:t>
            </w:r>
            <w:r>
              <w:rPr>
                <w:sz w:val="20"/>
              </w:rPr>
              <w:t>Modern cyber defense relies heavily on proactive deception technology to divert, profile, and delay adversaries before they compromise production infrastructure. However, traditional standalone honeypots often present operational barriers: their telemetry is siloed across disparate daemon formats, rule mapping is prone to misattribution or high latency, and emerging proposals to introduce generative Large Language Models (LLMs) directly into the shell interaction loop suffer from ungrounded hallucinations and severe prompt injection risks. This paper presents DeceptionNet, an open-source active defense platform built on isolated Docker microservices. DeceptionNet unifies multi-service honeypot decoys (Cowrie SSH/Telnet, Dionaea multi-protocol, and a vulnerable Flask web target) with an asynchronous log-forwarding bridge, a deterministic 33-rule MITRE ATT&amp;CK mapping engine, monotonic additive threat severity scoring, sliding-window session correlation, and a live React 18 operator dashboard. Crucially, DeceptionNet strictly decouples the LLM from interactive decoy simulation: generative models (Google Gemini 2.5 Flash / Claude 3 Haiku) are employed exclusively as post-capture threat intelligence summarizers for SOC analysts and automated ReportLab PDF incident reports. The platform logic is formally verified via an 84-test automated pytest suite covering rule boundaries, database savepoints under multithreaded concurrency, and timing edge cases. Finally, we demonstrate operational viability through a committed end-to-end multi-stage attack case study executing the automated attack harness, recording 7 distinct sessions across 15 events, including a persistent authenticated campaign of 9 events reaching a cumulative threat score of 26.0 (Critical).</w:t>
            </w:r>
          </w:p>
          <w:p>
            <w:r>
              <w:rPr>
                <w:b/>
              </w:rPr>
              <w:t>Keywords—</w:t>
            </w:r>
            <w:r>
              <w:rPr>
                <w:i/>
                <w:sz w:val="19"/>
              </w:rPr>
              <w:t>Honeypots, Active Cyber Defense, MITRE ATT&amp;CK, Telemetry Normalization, Cross-Honeypot Correlation, Decoupled LLM Summarization, Concurrency Safety.</w:t>
            </w:r>
          </w:p>
        </w:tc>
      </w:tr>
    </w:tbl>
    <w:p>
      <w:pPr>
        <w:spacing w:after="240"/>
      </w:pPr>
    </w:p>
    <w:p>
      <w:pPr>
        <w:spacing w:before="280" w:after="80"/>
      </w:pPr>
      <w:r>
        <w:rPr>
          <w:b/>
          <w:color w:val="1B365D"/>
          <w:sz w:val="28"/>
        </w:rPr>
        <w:t>1. Introduction &amp; Problem Statement</w:t>
      </w:r>
    </w:p>
    <w:p>
      <w:r>
        <w:t>Active deception platforms deploy decoy systems mimicking legitimate computing assets to detect unauthorized reconnaissance and exploitation attempts early in the cyber kill chain. When properly isolated, any interaction with a decoy is anomalous by definition, producing near-zero false-positive detection rates compared to perimeter intrusion detection systems (IDS) flooded by noisy background traffic.</w:t>
      </w:r>
    </w:p>
    <w:p>
      <w:r>
        <w:t>Despite their conceptual advantages, deploying honeypots in production or educational lab environments presents three primary technical hurdles: (1) Telemetry Fragmentation: decoys like Cowrie and Dionaea produce heterogeneous, unstructured JSON and binary logs that cannot be directly queried without custom ingestion pipelines; (2) Semantic Attribution Latency: security operations center (SOC) analysts must manually correlate raw shell commands and connection probes to the MITRE ATT&amp;CK framework; and (3) LLM Misapplication: recent academic proposals advocate placing generative Large Language Models directly on open network ports to generate interactive shell responses. In practice, interactive LLM decoys introduce prompt injection vulnerabilities, unpredictable latency spikes, and hallucinations during attack attribution.</w:t>
      </w:r>
    </w:p>
    <w:p>
      <w:r>
        <w:t>DeceptionNet addresses these challenges by implementing an integrated, containerized microservices platform combining deterministic rule attribution, concurrency-safe database ingestion, and decoupled post-capture AI reporting. All empirical claims in this work are strictly grounded in committed source code and verified command executions.</w:t>
      </w:r>
    </w:p>
    <w:p>
      <w:pPr>
        <w:spacing w:before="280" w:after="80"/>
      </w:pPr>
      <w:r>
        <w:rPr>
          <w:b/>
          <w:color w:val="1B365D"/>
          <w:sz w:val="28"/>
        </w:rPr>
        <w:t>2. System Architecture &amp; Component Design</w:t>
      </w:r>
    </w:p>
    <w:p>
      <w:r>
        <w:t>The DeceptionNet platform is organized into five decoupled subsystems interconnected across dual Docker bridge networks:</w:t>
      </w:r>
    </w:p>
    <w:p>
      <w:r>
        <w:rPr>
          <w:b/>
        </w:rPr>
        <w:t>1. Decoy Infrastructure (honeypot_net):</w:t>
        <w:br/>
      </w:r>
      <w:r>
        <w:t xml:space="preserve">   • Cowrie (ports 2222/2223): Emulates SSH and Telnet shells, capturing credential guesses, interactive commands, and dropped files in /var/log/cowrie/cowrie.json.</w:t>
        <w:br/>
        <w:t xml:space="preserve">   • Dionaea: Traps automated worm and exploit payloads across SMB (445), FTP (21), SIP, and HTTP endpoints.</w:t>
        <w:br/>
        <w:t xml:space="preserve">   • Attack-Target (port 9090): Deliberately vulnerable Python Flask portal exposing realistic flaw patterns: SQL injection login bypass, unrestricted command execution (/ping), path traversal (/read), reflected XSS (/search), and file upload (/upload).</w:t>
        <w:br/>
      </w:r>
      <w:r>
        <w:rPr>
          <w:b/>
        </w:rPr>
        <w:t>2. Telemetry Bridge (honeypot/forwarder.py):</w:t>
        <w:br/>
      </w:r>
      <w:r>
        <w:t xml:space="preserve">   • Continuously tails decoy JSON logs, normalizes heterogeneous schemas into a unified EventPayload structure (session_id, event_type, timestamp, src_ip, input, message), and posts events over HTTP to core-api.</w:t>
        <w:br/>
      </w:r>
      <w:r>
        <w:rPr>
          <w:b/>
        </w:rPr>
        <w:t>3. Core Security Engine (core-api):</w:t>
        <w:br/>
      </w:r>
      <w:r>
        <w:t xml:space="preserve">   • Implements deterministic MITRE ATT&amp;CK mapping via 33 rule specifications (16 command keyword rules spanning 50 signatures and 17 event-type normalization rules).</w:t>
        <w:br/>
        <w:t xml:space="preserve">   • Manages sliding-window session correlation (get_or_create_session) with cross-honeypot correlation and intra-honeypot isolation.</w:t>
        <w:br/>
        <w:t xml:space="preserve">   • Calculates monotonic additive severity scoring with atomic database increments.</w:t>
        <w:br/>
        <w:t xml:space="preserve">   • Enforces OAuth2 JWT authentication and RBAC for all REST routes and the /ws/live-events WebSocket channel.</w:t>
        <w:br/>
      </w:r>
      <w:r>
        <w:rPr>
          <w:b/>
        </w:rPr>
        <w:t>4. Decoupled AI Reporting Engine (ai-service &amp; core-api/report.py):</w:t>
        <w:br/>
      </w:r>
      <w:r>
        <w:t xml:space="preserve">   • Strictly operates asynchronously *after* capture. Synthesizes session telemetry into executive summaries and compiles high-resolution ReportLab PDF incident reports with MITRE technique badges.</w:t>
        <w:br/>
      </w:r>
      <w:r>
        <w:rPr>
          <w:b/>
        </w:rPr>
        <w:t>5. Live Operator Dashboard (dashboard):</w:t>
        <w:br/>
      </w:r>
      <w:r>
        <w:t xml:space="preserve">   • Built with React 18, Vite, and WebSocket streaming. Features live attack feeds, MITRE technique distribution, session inspection drawers, and PDF report downloads.</w:t>
        <w:br/>
      </w:r>
    </w:p>
    <w:p>
      <w:pPr>
        <w:spacing w:before="280" w:after="80"/>
      </w:pPr>
      <w:r>
        <w:rPr>
          <w:b/>
          <w:color w:val="1B365D"/>
          <w:sz w:val="28"/>
        </w:rPr>
        <w:t>3. Deterministic MITRE ATT&amp;CK Mapping &amp; Threat Scoring</w:t>
      </w:r>
    </w:p>
    <w:p>
      <w:r>
        <w:t>Attribution accuracy and execution speed are critical during high-volume brute-force attacks. DeceptionNet executes deterministic rule evaluation in &lt; 1 ms via core-api/mitre.py.</w:t>
      </w:r>
    </w:p>
    <w:p>
      <w:pPr>
        <w:spacing w:before="200" w:after="60"/>
      </w:pPr>
      <w:r>
        <w:rPr>
          <w:b/>
          <w:color w:val="2E5B88"/>
          <w:sz w:val="24"/>
        </w:rPr>
        <w:t>3.1 Rule Specifications &amp; Signature Precedence</w:t>
      </w:r>
    </w:p>
    <w:p>
      <w:r>
        <w:t>The rule table contains exactly 33 rule specifications:</w:t>
        <w:br/>
        <w:t>• 16 Command Keyword Rules: 50 distinct shell signatures evaluated with regex word boundaries (\b) to eliminate sub-token false positives (e.g., ensuring 'id' does not match 'rapid'). Specific rules take precedence over general ones: reading '/etc/shadow' or '/etc/passwd' matches T1003.008 (weight 5.0) before generic password commands match T1098. System discovery commands are strictly separated: 'uname' maps to T1082 (System Information Discovery, weight 1.0), while 'whoami' and 'id' map to T1033 (System Owner/User Discovery, weight 1.0).</w:t>
        <w:br/>
        <w:t>• 17 Event-Type Normalization Rules: Protocol actions mapped directly from decoy events (e.g., login_failed -&gt; T1110 (0.5), login -&gt; T1078 (1.0), sqli -&gt; T1190 (4.0), file_upload -&gt; T1505.003 (3.0), http -&gt; T1190 (4.0), scan -&gt; T1046 (1.0)).</w:t>
      </w:r>
    </w:p>
    <w:p>
      <w:pPr>
        <w:spacing w:before="200" w:after="60"/>
      </w:pPr>
      <w:r>
        <w:rPr>
          <w:b/>
          <w:color w:val="2E5B88"/>
          <w:sz w:val="24"/>
        </w:rPr>
        <w:t>3.2 Threat Scoring Formula &amp; Threshold Tiers</w:t>
      </w:r>
    </w:p>
    <w:p>
      <w:r>
        <w:t>Session threat severity is computed as an additive monotonic function of positively identified technique weights:</w:t>
        <w:br/>
        <w:t xml:space="preserve">   Severity = round(∑ w_i, 2)  where w_i &gt; 0</w:t>
        <w:br/>
        <w:t>Events that produce non-detections or noise (w = 0.0) contribute nothing to the score. As implemented in dashboard/src/utils.js, threat scores map into four operational tiers: Low (&lt; 1.0), Elevated (1.0 – 2.4), High (2.5 – 3.9), and Critical (≥ 4.0).</w:t>
      </w:r>
    </w:p>
    <w:p>
      <w:pPr>
        <w:spacing w:before="280" w:after="80"/>
      </w:pPr>
      <w:r>
        <w:rPr>
          <w:b/>
          <w:color w:val="1B365D"/>
          <w:sz w:val="28"/>
        </w:rPr>
        <w:t>4. Operational Case Study: Real Attack Harness Execution</w:t>
      </w:r>
    </w:p>
    <w:p>
      <w:r>
        <w:t>To replace all hypothetical evaluation metrics with verifiable ground truth, an automated intrusion was executed using the automated attack harness (attacker/scripts/full-attack.sh) against the attack-target web application (port 9090). Telemetry was processed through core-api, stored in SQLite, and committed as raw output to results/case_study_raw.json.</w:t>
      </w:r>
    </w:p>
    <w:p>
      <w:r>
        <w:t>Session Assignment Method: The web application (attack-target/app.py:current_sid) pins the session ID web-&lt;ip&gt;-&lt;hex&gt; in a signed Flask session cookie (session['sid']) upon login. When full-attack.sh authenticates in Stage 1 with curl's cookie jar (-c $COOKIE_JAR), follow-up post-exploitation requests in Stages 3–6 present the cookie (-b $COOKIE_JAR), binding all 9 exploited events to the same session ID. In contrast, credential stuffing requests in Stage 2 and the nmap scan in Stage 7 send no cookies; each unauthenticated request is assigned a fresh random UUID session ID, yielding 5 separate brute-force sessions and 1 scan session (7 total sessions in the run across 15 events).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B365D"/>
            <w:tcMar>
              <w:top w:w="80" w:type="dxa"/>
              <w:bottom w:w="80" w:type="dxa"/>
              <w:left w:w="100" w:type="dxa"/>
              <w:right w:w="100" w:type="dxa"/>
            </w:tcMar>
          </w:tcPr>
          <w:p>
            <w:r>
              <w:rPr>
                <w:b/>
                <w:color w:val="FFFFFF"/>
                <w:sz w:val="18"/>
              </w:rPr>
              <w:t>#</w:t>
            </w:r>
          </w:p>
        </w:tc>
        <w:tc>
          <w:tcPr>
            <w:tcW w:type="dxa" w:w="1337"/>
            <w:shd w:val="clear" w:color="auto" w:fill="1B365D"/>
            <w:tcMar>
              <w:top w:w="80" w:type="dxa"/>
              <w:bottom w:w="80" w:type="dxa"/>
              <w:left w:w="100" w:type="dxa"/>
              <w:right w:w="100" w:type="dxa"/>
            </w:tcMar>
          </w:tcPr>
          <w:p>
            <w:r>
              <w:rPr>
                <w:b/>
                <w:color w:val="FFFFFF"/>
                <w:sz w:val="18"/>
              </w:rPr>
              <w:t>Harness Stage</w:t>
            </w:r>
          </w:p>
        </w:tc>
        <w:tc>
          <w:tcPr>
            <w:tcW w:type="dxa" w:w="1337"/>
            <w:shd w:val="clear" w:color="auto" w:fill="1B365D"/>
            <w:tcMar>
              <w:top w:w="80" w:type="dxa"/>
              <w:bottom w:w="80" w:type="dxa"/>
              <w:left w:w="100" w:type="dxa"/>
              <w:right w:w="100" w:type="dxa"/>
            </w:tcMar>
          </w:tcPr>
          <w:p>
            <w:r>
              <w:rPr>
                <w:b/>
                <w:color w:val="FFFFFF"/>
                <w:sz w:val="18"/>
              </w:rPr>
              <w:t>Executed Action / Payload</w:t>
            </w:r>
          </w:p>
        </w:tc>
        <w:tc>
          <w:tcPr>
            <w:tcW w:type="dxa" w:w="1337"/>
            <w:shd w:val="clear" w:color="auto" w:fill="1B365D"/>
            <w:tcMar>
              <w:top w:w="80" w:type="dxa"/>
              <w:bottom w:w="80" w:type="dxa"/>
              <w:left w:w="100" w:type="dxa"/>
              <w:right w:w="100" w:type="dxa"/>
            </w:tcMar>
          </w:tcPr>
          <w:p>
            <w:r>
              <w:rPr>
                <w:b/>
                <w:color w:val="FFFFFF"/>
                <w:sz w:val="18"/>
              </w:rPr>
              <w:t>Event Type</w:t>
            </w:r>
          </w:p>
        </w:tc>
        <w:tc>
          <w:tcPr>
            <w:tcW w:type="dxa" w:w="1337"/>
            <w:shd w:val="clear" w:color="auto" w:fill="1B365D"/>
            <w:tcMar>
              <w:top w:w="80" w:type="dxa"/>
              <w:bottom w:w="80" w:type="dxa"/>
              <w:left w:w="100" w:type="dxa"/>
              <w:right w:w="100" w:type="dxa"/>
            </w:tcMar>
          </w:tcPr>
          <w:p>
            <w:r>
              <w:rPr>
                <w:b/>
                <w:color w:val="FFFFFF"/>
                <w:sz w:val="18"/>
              </w:rPr>
              <w:t>ATT&amp;CK Technique</w:t>
            </w:r>
          </w:p>
        </w:tc>
        <w:tc>
          <w:tcPr>
            <w:tcW w:type="dxa" w:w="1337"/>
            <w:shd w:val="clear" w:color="auto" w:fill="1B365D"/>
            <w:tcMar>
              <w:top w:w="80" w:type="dxa"/>
              <w:bottom w:w="80" w:type="dxa"/>
              <w:left w:w="100" w:type="dxa"/>
              <w:right w:w="100" w:type="dxa"/>
            </w:tcMar>
          </w:tcPr>
          <w:p>
            <w:r>
              <w:rPr>
                <w:b/>
                <w:color w:val="FFFFFF"/>
                <w:sz w:val="18"/>
              </w:rPr>
              <w:t>Weight</w:t>
            </w:r>
          </w:p>
        </w:tc>
        <w:tc>
          <w:tcPr>
            <w:tcW w:type="dxa" w:w="1337"/>
            <w:shd w:val="clear" w:color="auto" w:fill="1B365D"/>
            <w:tcMar>
              <w:top w:w="80" w:type="dxa"/>
              <w:bottom w:w="80" w:type="dxa"/>
              <w:left w:w="100" w:type="dxa"/>
              <w:right w:w="100" w:type="dxa"/>
            </w:tcMar>
          </w:tcPr>
          <w:p>
            <w:r>
              <w:rPr>
                <w:b/>
                <w:color w:val="FFFFFF"/>
                <w:sz w:val="18"/>
              </w:rPr>
              <w:t>Running</w:t>
            </w:r>
          </w:p>
        </w:tc>
      </w:tr>
      <w:tr>
        <w:tc>
          <w:tcPr>
            <w:tcW w:type="dxa" w:w="1337"/>
            <w:tcMar>
              <w:top w:w="60" w:type="dxa"/>
              <w:bottom w:w="60" w:type="dxa"/>
              <w:left w:w="80" w:type="dxa"/>
              <w:right w:w="80" w:type="dxa"/>
            </w:tcMar>
          </w:tcPr>
          <w:p>
            <w:r>
              <w:rPr>
                <w:sz w:val="17"/>
              </w:rPr>
              <w:t>1</w:t>
            </w:r>
          </w:p>
        </w:tc>
        <w:tc>
          <w:tcPr>
            <w:tcW w:type="dxa" w:w="1337"/>
            <w:tcMar>
              <w:top w:w="60" w:type="dxa"/>
              <w:bottom w:w="60" w:type="dxa"/>
              <w:left w:w="80" w:type="dxa"/>
              <w:right w:w="80" w:type="dxa"/>
            </w:tcMar>
          </w:tcPr>
          <w:p>
            <w:r>
              <w:rPr>
                <w:sz w:val="17"/>
              </w:rPr>
              <w:t>1. SQLi Login Bypass</w:t>
            </w:r>
          </w:p>
        </w:tc>
        <w:tc>
          <w:tcPr>
            <w:tcW w:type="dxa" w:w="1337"/>
            <w:tcMar>
              <w:top w:w="60" w:type="dxa"/>
              <w:bottom w:w="60" w:type="dxa"/>
              <w:left w:w="80" w:type="dxa"/>
              <w:right w:w="80" w:type="dxa"/>
            </w:tcMar>
          </w:tcPr>
          <w:p>
            <w:r>
              <w:rPr>
                <w:sz w:val="17"/>
              </w:rPr>
              <w:t>POST /login: username=admin'--&amp;password=x</w:t>
            </w:r>
          </w:p>
        </w:tc>
        <w:tc>
          <w:tcPr>
            <w:tcW w:type="dxa" w:w="1337"/>
            <w:tcMar>
              <w:top w:w="60" w:type="dxa"/>
              <w:bottom w:w="60" w:type="dxa"/>
              <w:left w:w="80" w:type="dxa"/>
              <w:right w:w="80" w:type="dxa"/>
            </w:tcMar>
          </w:tcPr>
          <w:p>
            <w:r>
              <w:rPr>
                <w:sz w:val="17"/>
              </w:rPr>
              <w:t>sqli</w:t>
            </w:r>
          </w:p>
        </w:tc>
        <w:tc>
          <w:tcPr>
            <w:tcW w:type="dxa" w:w="1337"/>
            <w:tcMar>
              <w:top w:w="60" w:type="dxa"/>
              <w:bottom w:w="60" w:type="dxa"/>
              <w:left w:w="80" w:type="dxa"/>
              <w:right w:w="80" w:type="dxa"/>
            </w:tcMar>
          </w:tcPr>
          <w:p>
            <w:r>
              <w:rPr>
                <w:sz w:val="17"/>
              </w:rPr>
              <w:t>T1190 Exploit App</w:t>
            </w:r>
          </w:p>
        </w:tc>
        <w:tc>
          <w:tcPr>
            <w:tcW w:type="dxa" w:w="1337"/>
            <w:tcMar>
              <w:top w:w="60" w:type="dxa"/>
              <w:bottom w:w="60" w:type="dxa"/>
              <w:left w:w="80" w:type="dxa"/>
              <w:right w:w="80" w:type="dxa"/>
            </w:tcMar>
          </w:tcPr>
          <w:p>
            <w:r>
              <w:rPr>
                <w:sz w:val="17"/>
              </w:rPr>
              <w:t>+4.0</w:t>
            </w:r>
          </w:p>
        </w:tc>
        <w:tc>
          <w:tcPr>
            <w:tcW w:type="dxa" w:w="1337"/>
            <w:tcMar>
              <w:top w:w="60" w:type="dxa"/>
              <w:bottom w:w="60" w:type="dxa"/>
              <w:left w:w="80" w:type="dxa"/>
              <w:right w:w="80" w:type="dxa"/>
            </w:tcMar>
          </w:tcPr>
          <w:p>
            <w:r>
              <w:rPr>
                <w:sz w:val="17"/>
              </w:rPr>
              <w:t>4.0</w:t>
            </w:r>
          </w:p>
        </w:tc>
      </w:tr>
      <w:tr>
        <w:tc>
          <w:tcPr>
            <w:tcW w:type="dxa" w:w="1337"/>
            <w:tcMar>
              <w:top w:w="60" w:type="dxa"/>
              <w:bottom w:w="60" w:type="dxa"/>
              <w:left w:w="80" w:type="dxa"/>
              <w:right w:w="80" w:type="dxa"/>
            </w:tcMar>
          </w:tcPr>
          <w:p>
            <w:r>
              <w:rPr>
                <w:sz w:val="17"/>
              </w:rPr>
              <w:t>2</w:t>
            </w:r>
          </w:p>
        </w:tc>
        <w:tc>
          <w:tcPr>
            <w:tcW w:type="dxa" w:w="1337"/>
            <w:tcMar>
              <w:top w:w="60" w:type="dxa"/>
              <w:bottom w:w="60" w:type="dxa"/>
              <w:left w:w="80" w:type="dxa"/>
              <w:right w:w="80" w:type="dxa"/>
            </w:tcMar>
          </w:tcPr>
          <w:p>
            <w:r>
              <w:rPr>
                <w:sz w:val="17"/>
              </w:rPr>
              <w:t>3. Cmd Injection (whoami)</w:t>
            </w:r>
          </w:p>
        </w:tc>
        <w:tc>
          <w:tcPr>
            <w:tcW w:type="dxa" w:w="1337"/>
            <w:tcMar>
              <w:top w:w="60" w:type="dxa"/>
              <w:bottom w:w="60" w:type="dxa"/>
              <w:left w:w="80" w:type="dxa"/>
              <w:right w:w="80" w:type="dxa"/>
            </w:tcMar>
          </w:tcPr>
          <w:p>
            <w:r>
              <w:rPr>
                <w:sz w:val="17"/>
              </w:rPr>
              <w:t>POST /ping: host=127.0.0.1; whoami</w:t>
            </w:r>
          </w:p>
        </w:tc>
        <w:tc>
          <w:tcPr>
            <w:tcW w:type="dxa" w:w="1337"/>
            <w:tcMar>
              <w:top w:w="60" w:type="dxa"/>
              <w:bottom w:w="60" w:type="dxa"/>
              <w:left w:w="80" w:type="dxa"/>
              <w:right w:w="80" w:type="dxa"/>
            </w:tcMar>
          </w:tcPr>
          <w:p>
            <w:r>
              <w:rPr>
                <w:sz w:val="17"/>
              </w:rPr>
              <w:t>command</w:t>
            </w:r>
          </w:p>
        </w:tc>
        <w:tc>
          <w:tcPr>
            <w:tcW w:type="dxa" w:w="1337"/>
            <w:tcMar>
              <w:top w:w="60" w:type="dxa"/>
              <w:bottom w:w="60" w:type="dxa"/>
              <w:left w:w="80" w:type="dxa"/>
              <w:right w:w="80" w:type="dxa"/>
            </w:tcMar>
          </w:tcPr>
          <w:p>
            <w:r>
              <w:rPr>
                <w:sz w:val="17"/>
              </w:rPr>
              <w:t>T1033 User Discovery</w:t>
            </w:r>
          </w:p>
        </w:tc>
        <w:tc>
          <w:tcPr>
            <w:tcW w:type="dxa" w:w="1337"/>
            <w:tcMar>
              <w:top w:w="60" w:type="dxa"/>
              <w:bottom w:w="60" w:type="dxa"/>
              <w:left w:w="80" w:type="dxa"/>
              <w:right w:w="80" w:type="dxa"/>
            </w:tcMar>
          </w:tcPr>
          <w:p>
            <w:r>
              <w:rPr>
                <w:sz w:val="17"/>
              </w:rPr>
              <w:t>+1.0</w:t>
            </w:r>
          </w:p>
        </w:tc>
        <w:tc>
          <w:tcPr>
            <w:tcW w:type="dxa" w:w="1337"/>
            <w:tcMar>
              <w:top w:w="60" w:type="dxa"/>
              <w:bottom w:w="60" w:type="dxa"/>
              <w:left w:w="80" w:type="dxa"/>
              <w:right w:w="80" w:type="dxa"/>
            </w:tcMar>
          </w:tcPr>
          <w:p>
            <w:r>
              <w:rPr>
                <w:sz w:val="17"/>
              </w:rPr>
              <w:t>5.0</w:t>
            </w:r>
          </w:p>
        </w:tc>
      </w:tr>
      <w:tr>
        <w:tc>
          <w:tcPr>
            <w:tcW w:type="dxa" w:w="1337"/>
            <w:tcMar>
              <w:top w:w="60" w:type="dxa"/>
              <w:bottom w:w="60" w:type="dxa"/>
              <w:left w:w="80" w:type="dxa"/>
              <w:right w:w="80" w:type="dxa"/>
            </w:tcMar>
          </w:tcPr>
          <w:p>
            <w:r>
              <w:rPr>
                <w:sz w:val="17"/>
              </w:rPr>
              <w:t>3</w:t>
            </w:r>
          </w:p>
        </w:tc>
        <w:tc>
          <w:tcPr>
            <w:tcW w:type="dxa" w:w="1337"/>
            <w:tcMar>
              <w:top w:w="60" w:type="dxa"/>
              <w:bottom w:w="60" w:type="dxa"/>
              <w:left w:w="80" w:type="dxa"/>
              <w:right w:w="80" w:type="dxa"/>
            </w:tcMar>
          </w:tcPr>
          <w:p>
            <w:r>
              <w:rPr>
                <w:sz w:val="17"/>
              </w:rPr>
              <w:t>3. Cmd Injection (uname)</w:t>
            </w:r>
          </w:p>
        </w:tc>
        <w:tc>
          <w:tcPr>
            <w:tcW w:type="dxa" w:w="1337"/>
            <w:tcMar>
              <w:top w:w="60" w:type="dxa"/>
              <w:bottom w:w="60" w:type="dxa"/>
              <w:left w:w="80" w:type="dxa"/>
              <w:right w:w="80" w:type="dxa"/>
            </w:tcMar>
          </w:tcPr>
          <w:p>
            <w:r>
              <w:rPr>
                <w:sz w:val="17"/>
              </w:rPr>
              <w:t>POST /ping: host=127.0.0.1; uname -a</w:t>
            </w:r>
          </w:p>
        </w:tc>
        <w:tc>
          <w:tcPr>
            <w:tcW w:type="dxa" w:w="1337"/>
            <w:tcMar>
              <w:top w:w="60" w:type="dxa"/>
              <w:bottom w:w="60" w:type="dxa"/>
              <w:left w:w="80" w:type="dxa"/>
              <w:right w:w="80" w:type="dxa"/>
            </w:tcMar>
          </w:tcPr>
          <w:p>
            <w:r>
              <w:rPr>
                <w:sz w:val="17"/>
              </w:rPr>
              <w:t>command</w:t>
            </w:r>
          </w:p>
        </w:tc>
        <w:tc>
          <w:tcPr>
            <w:tcW w:type="dxa" w:w="1337"/>
            <w:tcMar>
              <w:top w:w="60" w:type="dxa"/>
              <w:bottom w:w="60" w:type="dxa"/>
              <w:left w:w="80" w:type="dxa"/>
              <w:right w:w="80" w:type="dxa"/>
            </w:tcMar>
          </w:tcPr>
          <w:p>
            <w:r>
              <w:rPr>
                <w:sz w:val="17"/>
              </w:rPr>
              <w:t>T1082 System Discovery</w:t>
            </w:r>
          </w:p>
        </w:tc>
        <w:tc>
          <w:tcPr>
            <w:tcW w:type="dxa" w:w="1337"/>
            <w:tcMar>
              <w:top w:w="60" w:type="dxa"/>
              <w:bottom w:w="60" w:type="dxa"/>
              <w:left w:w="80" w:type="dxa"/>
              <w:right w:w="80" w:type="dxa"/>
            </w:tcMar>
          </w:tcPr>
          <w:p>
            <w:r>
              <w:rPr>
                <w:sz w:val="17"/>
              </w:rPr>
              <w:t>+1.0</w:t>
            </w:r>
          </w:p>
        </w:tc>
        <w:tc>
          <w:tcPr>
            <w:tcW w:type="dxa" w:w="1337"/>
            <w:tcMar>
              <w:top w:w="60" w:type="dxa"/>
              <w:bottom w:w="60" w:type="dxa"/>
              <w:left w:w="80" w:type="dxa"/>
              <w:right w:w="80" w:type="dxa"/>
            </w:tcMar>
          </w:tcPr>
          <w:p>
            <w:r>
              <w:rPr>
                <w:sz w:val="17"/>
              </w:rPr>
              <w:t>6.0</w:t>
            </w:r>
          </w:p>
        </w:tc>
      </w:tr>
      <w:tr>
        <w:tc>
          <w:tcPr>
            <w:tcW w:type="dxa" w:w="1337"/>
            <w:tcMar>
              <w:top w:w="60" w:type="dxa"/>
              <w:bottom w:w="60" w:type="dxa"/>
              <w:left w:w="80" w:type="dxa"/>
              <w:right w:w="80" w:type="dxa"/>
            </w:tcMar>
          </w:tcPr>
          <w:p>
            <w:r>
              <w:rPr>
                <w:sz w:val="17"/>
              </w:rPr>
              <w:t>4</w:t>
            </w:r>
          </w:p>
        </w:tc>
        <w:tc>
          <w:tcPr>
            <w:tcW w:type="dxa" w:w="1337"/>
            <w:tcMar>
              <w:top w:w="60" w:type="dxa"/>
              <w:bottom w:w="60" w:type="dxa"/>
              <w:left w:w="80" w:type="dxa"/>
              <w:right w:w="80" w:type="dxa"/>
            </w:tcMar>
          </w:tcPr>
          <w:p>
            <w:r>
              <w:rPr>
                <w:sz w:val="17"/>
              </w:rPr>
              <w:t>3. Cmd Injection (passwd)</w:t>
            </w:r>
          </w:p>
        </w:tc>
        <w:tc>
          <w:tcPr>
            <w:tcW w:type="dxa" w:w="1337"/>
            <w:tcMar>
              <w:top w:w="60" w:type="dxa"/>
              <w:bottom w:w="60" w:type="dxa"/>
              <w:left w:w="80" w:type="dxa"/>
              <w:right w:w="80" w:type="dxa"/>
            </w:tcMar>
          </w:tcPr>
          <w:p>
            <w:r>
              <w:rPr>
                <w:sz w:val="17"/>
              </w:rPr>
              <w:t>POST /ping: host=127.0.0.1; cat /etc/passwd</w:t>
            </w:r>
          </w:p>
        </w:tc>
        <w:tc>
          <w:tcPr>
            <w:tcW w:type="dxa" w:w="1337"/>
            <w:tcMar>
              <w:top w:w="60" w:type="dxa"/>
              <w:bottom w:w="60" w:type="dxa"/>
              <w:left w:w="80" w:type="dxa"/>
              <w:right w:w="80" w:type="dxa"/>
            </w:tcMar>
          </w:tcPr>
          <w:p>
            <w:r>
              <w:rPr>
                <w:sz w:val="17"/>
              </w:rPr>
              <w:t>command</w:t>
            </w:r>
          </w:p>
        </w:tc>
        <w:tc>
          <w:tcPr>
            <w:tcW w:type="dxa" w:w="1337"/>
            <w:tcMar>
              <w:top w:w="60" w:type="dxa"/>
              <w:bottom w:w="60" w:type="dxa"/>
              <w:left w:w="80" w:type="dxa"/>
              <w:right w:w="80" w:type="dxa"/>
            </w:tcMar>
          </w:tcPr>
          <w:p>
            <w:r>
              <w:rPr>
                <w:sz w:val="17"/>
              </w:rPr>
              <w:t>T1003.008 Cred Dump</w:t>
            </w:r>
          </w:p>
        </w:tc>
        <w:tc>
          <w:tcPr>
            <w:tcW w:type="dxa" w:w="1337"/>
            <w:tcMar>
              <w:top w:w="60" w:type="dxa"/>
              <w:bottom w:w="60" w:type="dxa"/>
              <w:left w:w="80" w:type="dxa"/>
              <w:right w:w="80" w:type="dxa"/>
            </w:tcMar>
          </w:tcPr>
          <w:p>
            <w:r>
              <w:rPr>
                <w:sz w:val="17"/>
              </w:rPr>
              <w:t>+5.0</w:t>
            </w:r>
          </w:p>
        </w:tc>
        <w:tc>
          <w:tcPr>
            <w:tcW w:type="dxa" w:w="1337"/>
            <w:tcMar>
              <w:top w:w="60" w:type="dxa"/>
              <w:bottom w:w="60" w:type="dxa"/>
              <w:left w:w="80" w:type="dxa"/>
              <w:right w:w="80" w:type="dxa"/>
            </w:tcMar>
          </w:tcPr>
          <w:p>
            <w:r>
              <w:rPr>
                <w:sz w:val="17"/>
              </w:rPr>
              <w:t>11.0</w:t>
            </w:r>
          </w:p>
        </w:tc>
      </w:tr>
      <w:tr>
        <w:tc>
          <w:tcPr>
            <w:tcW w:type="dxa" w:w="1337"/>
            <w:tcMar>
              <w:top w:w="60" w:type="dxa"/>
              <w:bottom w:w="60" w:type="dxa"/>
              <w:left w:w="80" w:type="dxa"/>
              <w:right w:w="80" w:type="dxa"/>
            </w:tcMar>
          </w:tcPr>
          <w:p>
            <w:r>
              <w:rPr>
                <w:sz w:val="17"/>
              </w:rPr>
              <w:t>5</w:t>
            </w:r>
          </w:p>
        </w:tc>
        <w:tc>
          <w:tcPr>
            <w:tcW w:type="dxa" w:w="1337"/>
            <w:tcMar>
              <w:top w:w="60" w:type="dxa"/>
              <w:bottom w:w="60" w:type="dxa"/>
              <w:left w:w="80" w:type="dxa"/>
              <w:right w:w="80" w:type="dxa"/>
            </w:tcMar>
          </w:tcPr>
          <w:p>
            <w:r>
              <w:rPr>
                <w:sz w:val="17"/>
              </w:rPr>
              <w:t>3. Cmd Injection (tool)</w:t>
            </w:r>
          </w:p>
        </w:tc>
        <w:tc>
          <w:tcPr>
            <w:tcW w:type="dxa" w:w="1337"/>
            <w:tcMar>
              <w:top w:w="60" w:type="dxa"/>
              <w:bottom w:w="60" w:type="dxa"/>
              <w:left w:w="80" w:type="dxa"/>
              <w:right w:w="80" w:type="dxa"/>
            </w:tcMar>
          </w:tcPr>
          <w:p>
            <w:r>
              <w:rPr>
                <w:sz w:val="17"/>
              </w:rPr>
              <w:t>POST /ping: host=127.0.0.1; wget http://...</w:t>
            </w:r>
          </w:p>
        </w:tc>
        <w:tc>
          <w:tcPr>
            <w:tcW w:type="dxa" w:w="1337"/>
            <w:tcMar>
              <w:top w:w="60" w:type="dxa"/>
              <w:bottom w:w="60" w:type="dxa"/>
              <w:left w:w="80" w:type="dxa"/>
              <w:right w:w="80" w:type="dxa"/>
            </w:tcMar>
          </w:tcPr>
          <w:p>
            <w:r>
              <w:rPr>
                <w:sz w:val="17"/>
              </w:rPr>
              <w:t>command</w:t>
            </w:r>
          </w:p>
        </w:tc>
        <w:tc>
          <w:tcPr>
            <w:tcW w:type="dxa" w:w="1337"/>
            <w:tcMar>
              <w:top w:w="60" w:type="dxa"/>
              <w:bottom w:w="60" w:type="dxa"/>
              <w:left w:w="80" w:type="dxa"/>
              <w:right w:w="80" w:type="dxa"/>
            </w:tcMar>
          </w:tcPr>
          <w:p>
            <w:r>
              <w:rPr>
                <w:sz w:val="17"/>
              </w:rPr>
              <w:t>T1105 Ingress Transfer</w:t>
            </w:r>
          </w:p>
        </w:tc>
        <w:tc>
          <w:tcPr>
            <w:tcW w:type="dxa" w:w="1337"/>
            <w:tcMar>
              <w:top w:w="60" w:type="dxa"/>
              <w:bottom w:w="60" w:type="dxa"/>
              <w:left w:w="80" w:type="dxa"/>
              <w:right w:w="80" w:type="dxa"/>
            </w:tcMar>
          </w:tcPr>
          <w:p>
            <w:r>
              <w:rPr>
                <w:sz w:val="17"/>
              </w:rPr>
              <w:t>+3.0</w:t>
            </w:r>
          </w:p>
        </w:tc>
        <w:tc>
          <w:tcPr>
            <w:tcW w:type="dxa" w:w="1337"/>
            <w:tcMar>
              <w:top w:w="60" w:type="dxa"/>
              <w:bottom w:w="60" w:type="dxa"/>
              <w:left w:w="80" w:type="dxa"/>
              <w:right w:w="80" w:type="dxa"/>
            </w:tcMar>
          </w:tcPr>
          <w:p>
            <w:r>
              <w:rPr>
                <w:sz w:val="17"/>
              </w:rPr>
              <w:t>14.0</w:t>
            </w:r>
          </w:p>
        </w:tc>
      </w:tr>
      <w:tr>
        <w:tc>
          <w:tcPr>
            <w:tcW w:type="dxa" w:w="1337"/>
            <w:tcMar>
              <w:top w:w="60" w:type="dxa"/>
              <w:bottom w:w="60" w:type="dxa"/>
              <w:left w:w="80" w:type="dxa"/>
              <w:right w:w="80" w:type="dxa"/>
            </w:tcMar>
          </w:tcPr>
          <w:p>
            <w:r>
              <w:rPr>
                <w:sz w:val="17"/>
              </w:rPr>
              <w:t>6</w:t>
            </w:r>
          </w:p>
        </w:tc>
        <w:tc>
          <w:tcPr>
            <w:tcW w:type="dxa" w:w="1337"/>
            <w:tcMar>
              <w:top w:w="60" w:type="dxa"/>
              <w:bottom w:w="60" w:type="dxa"/>
              <w:left w:w="80" w:type="dxa"/>
              <w:right w:w="80" w:type="dxa"/>
            </w:tcMar>
          </w:tcPr>
          <w:p>
            <w:r>
              <w:rPr>
                <w:sz w:val="17"/>
              </w:rPr>
              <w:t>4. Path Traversal (passwd)</w:t>
            </w:r>
          </w:p>
        </w:tc>
        <w:tc>
          <w:tcPr>
            <w:tcW w:type="dxa" w:w="1337"/>
            <w:tcMar>
              <w:top w:w="60" w:type="dxa"/>
              <w:bottom w:w="60" w:type="dxa"/>
              <w:left w:w="80" w:type="dxa"/>
              <w:right w:w="80" w:type="dxa"/>
            </w:tcMar>
          </w:tcPr>
          <w:p>
            <w:r>
              <w:rPr>
                <w:sz w:val="17"/>
              </w:rPr>
              <w:t>GET /read?file=../../../../etc/passwd</w:t>
            </w:r>
          </w:p>
        </w:tc>
        <w:tc>
          <w:tcPr>
            <w:tcW w:type="dxa" w:w="1337"/>
            <w:tcMar>
              <w:top w:w="60" w:type="dxa"/>
              <w:bottom w:w="60" w:type="dxa"/>
              <w:left w:w="80" w:type="dxa"/>
              <w:right w:w="80" w:type="dxa"/>
            </w:tcMar>
          </w:tcPr>
          <w:p>
            <w:r>
              <w:rPr>
                <w:sz w:val="17"/>
              </w:rPr>
              <w:t>command</w:t>
            </w:r>
          </w:p>
        </w:tc>
        <w:tc>
          <w:tcPr>
            <w:tcW w:type="dxa" w:w="1337"/>
            <w:tcMar>
              <w:top w:w="60" w:type="dxa"/>
              <w:bottom w:w="60" w:type="dxa"/>
              <w:left w:w="80" w:type="dxa"/>
              <w:right w:w="80" w:type="dxa"/>
            </w:tcMar>
          </w:tcPr>
          <w:p>
            <w:r>
              <w:rPr>
                <w:sz w:val="17"/>
              </w:rPr>
              <w:t>T1003.008 Cred Dump</w:t>
            </w:r>
          </w:p>
        </w:tc>
        <w:tc>
          <w:tcPr>
            <w:tcW w:type="dxa" w:w="1337"/>
            <w:tcMar>
              <w:top w:w="60" w:type="dxa"/>
              <w:bottom w:w="60" w:type="dxa"/>
              <w:left w:w="80" w:type="dxa"/>
              <w:right w:w="80" w:type="dxa"/>
            </w:tcMar>
          </w:tcPr>
          <w:p>
            <w:r>
              <w:rPr>
                <w:sz w:val="17"/>
              </w:rPr>
              <w:t>+5.0</w:t>
            </w:r>
          </w:p>
        </w:tc>
        <w:tc>
          <w:tcPr>
            <w:tcW w:type="dxa" w:w="1337"/>
            <w:tcMar>
              <w:top w:w="60" w:type="dxa"/>
              <w:bottom w:w="60" w:type="dxa"/>
              <w:left w:w="80" w:type="dxa"/>
              <w:right w:w="80" w:type="dxa"/>
            </w:tcMar>
          </w:tcPr>
          <w:p>
            <w:r>
              <w:rPr>
                <w:sz w:val="17"/>
              </w:rPr>
              <w:t>19.0</w:t>
            </w:r>
          </w:p>
        </w:tc>
      </w:tr>
      <w:tr>
        <w:tc>
          <w:tcPr>
            <w:tcW w:type="dxa" w:w="1337"/>
            <w:tcMar>
              <w:top w:w="60" w:type="dxa"/>
              <w:bottom w:w="60" w:type="dxa"/>
              <w:left w:w="80" w:type="dxa"/>
              <w:right w:w="80" w:type="dxa"/>
            </w:tcMar>
          </w:tcPr>
          <w:p>
            <w:r>
              <w:rPr>
                <w:sz w:val="17"/>
              </w:rPr>
              <w:t>7</w:t>
            </w:r>
          </w:p>
        </w:tc>
        <w:tc>
          <w:tcPr>
            <w:tcW w:type="dxa" w:w="1337"/>
            <w:tcMar>
              <w:top w:w="60" w:type="dxa"/>
              <w:bottom w:w="60" w:type="dxa"/>
              <w:left w:w="80" w:type="dxa"/>
              <w:right w:w="80" w:type="dxa"/>
            </w:tcMar>
          </w:tcPr>
          <w:p>
            <w:r>
              <w:rPr>
                <w:sz w:val="17"/>
              </w:rPr>
              <w:t>4. Path Traversal (conf)</w:t>
            </w:r>
          </w:p>
        </w:tc>
        <w:tc>
          <w:tcPr>
            <w:tcW w:type="dxa" w:w="1337"/>
            <w:tcMar>
              <w:top w:w="60" w:type="dxa"/>
              <w:bottom w:w="60" w:type="dxa"/>
              <w:left w:w="80" w:type="dxa"/>
              <w:right w:w="80" w:type="dxa"/>
            </w:tcMar>
          </w:tcPr>
          <w:p>
            <w:r>
              <w:rPr>
                <w:sz w:val="17"/>
              </w:rPr>
              <w:t>GET /read?file=../../etc/portal.conf</w:t>
            </w:r>
          </w:p>
        </w:tc>
        <w:tc>
          <w:tcPr>
            <w:tcW w:type="dxa" w:w="1337"/>
            <w:tcMar>
              <w:top w:w="60" w:type="dxa"/>
              <w:bottom w:w="60" w:type="dxa"/>
              <w:left w:w="80" w:type="dxa"/>
              <w:right w:w="80" w:type="dxa"/>
            </w:tcMar>
          </w:tcPr>
          <w:p>
            <w:r>
              <w:rPr>
                <w:sz w:val="17"/>
              </w:rPr>
              <w:t>command</w:t>
            </w:r>
          </w:p>
        </w:tc>
        <w:tc>
          <w:tcPr>
            <w:tcW w:type="dxa" w:w="1337"/>
            <w:tcMar>
              <w:top w:w="60" w:type="dxa"/>
              <w:bottom w:w="60" w:type="dxa"/>
              <w:left w:w="80" w:type="dxa"/>
              <w:right w:w="80" w:type="dxa"/>
            </w:tcMar>
          </w:tcPr>
          <w:p>
            <w:r>
              <w:rPr>
                <w:sz w:val="17"/>
              </w:rPr>
              <w:t>Unmapped (Noise)</w:t>
            </w:r>
          </w:p>
        </w:tc>
        <w:tc>
          <w:tcPr>
            <w:tcW w:type="dxa" w:w="1337"/>
            <w:tcMar>
              <w:top w:w="60" w:type="dxa"/>
              <w:bottom w:w="60" w:type="dxa"/>
              <w:left w:w="80" w:type="dxa"/>
              <w:right w:w="80" w:type="dxa"/>
            </w:tcMar>
          </w:tcPr>
          <w:p>
            <w:r>
              <w:rPr>
                <w:sz w:val="17"/>
              </w:rPr>
              <w:t>+0.0</w:t>
            </w:r>
          </w:p>
        </w:tc>
        <w:tc>
          <w:tcPr>
            <w:tcW w:type="dxa" w:w="1337"/>
            <w:tcMar>
              <w:top w:w="60" w:type="dxa"/>
              <w:bottom w:w="60" w:type="dxa"/>
              <w:left w:w="80" w:type="dxa"/>
              <w:right w:w="80" w:type="dxa"/>
            </w:tcMar>
          </w:tcPr>
          <w:p>
            <w:r>
              <w:rPr>
                <w:sz w:val="17"/>
              </w:rPr>
              <w:t>19.0</w:t>
            </w:r>
          </w:p>
        </w:tc>
      </w:tr>
      <w:tr>
        <w:tc>
          <w:tcPr>
            <w:tcW w:type="dxa" w:w="1337"/>
            <w:tcMar>
              <w:top w:w="60" w:type="dxa"/>
              <w:bottom w:w="60" w:type="dxa"/>
              <w:left w:w="80" w:type="dxa"/>
              <w:right w:w="80" w:type="dxa"/>
            </w:tcMar>
          </w:tcPr>
          <w:p>
            <w:r>
              <w:rPr>
                <w:sz w:val="17"/>
              </w:rPr>
              <w:t>8</w:t>
            </w:r>
          </w:p>
        </w:tc>
        <w:tc>
          <w:tcPr>
            <w:tcW w:type="dxa" w:w="1337"/>
            <w:tcMar>
              <w:top w:w="60" w:type="dxa"/>
              <w:bottom w:w="60" w:type="dxa"/>
              <w:left w:w="80" w:type="dxa"/>
              <w:right w:w="80" w:type="dxa"/>
            </w:tcMar>
          </w:tcPr>
          <w:p>
            <w:r>
              <w:rPr>
                <w:sz w:val="17"/>
              </w:rPr>
              <w:t>5. Reflected XSS</w:t>
            </w:r>
          </w:p>
        </w:tc>
        <w:tc>
          <w:tcPr>
            <w:tcW w:type="dxa" w:w="1337"/>
            <w:tcMar>
              <w:top w:w="60" w:type="dxa"/>
              <w:bottom w:w="60" w:type="dxa"/>
              <w:left w:w="80" w:type="dxa"/>
              <w:right w:w="80" w:type="dxa"/>
            </w:tcMar>
          </w:tcPr>
          <w:p>
            <w:r>
              <w:rPr>
                <w:sz w:val="17"/>
              </w:rPr>
              <w:t>GET /search?q=&lt;script&gt;alert(1)&lt;/script&gt;</w:t>
            </w:r>
          </w:p>
        </w:tc>
        <w:tc>
          <w:tcPr>
            <w:tcW w:type="dxa" w:w="1337"/>
            <w:tcMar>
              <w:top w:w="60" w:type="dxa"/>
              <w:bottom w:w="60" w:type="dxa"/>
              <w:left w:w="80" w:type="dxa"/>
              <w:right w:w="80" w:type="dxa"/>
            </w:tcMar>
          </w:tcPr>
          <w:p>
            <w:r>
              <w:rPr>
                <w:sz w:val="17"/>
              </w:rPr>
              <w:t>http</w:t>
            </w:r>
          </w:p>
        </w:tc>
        <w:tc>
          <w:tcPr>
            <w:tcW w:type="dxa" w:w="1337"/>
            <w:tcMar>
              <w:top w:w="60" w:type="dxa"/>
              <w:bottom w:w="60" w:type="dxa"/>
              <w:left w:w="80" w:type="dxa"/>
              <w:right w:w="80" w:type="dxa"/>
            </w:tcMar>
          </w:tcPr>
          <w:p>
            <w:r>
              <w:rPr>
                <w:sz w:val="17"/>
              </w:rPr>
              <w:t>T1190 Exploit App</w:t>
            </w:r>
          </w:p>
        </w:tc>
        <w:tc>
          <w:tcPr>
            <w:tcW w:type="dxa" w:w="1337"/>
            <w:tcMar>
              <w:top w:w="60" w:type="dxa"/>
              <w:bottom w:w="60" w:type="dxa"/>
              <w:left w:w="80" w:type="dxa"/>
              <w:right w:w="80" w:type="dxa"/>
            </w:tcMar>
          </w:tcPr>
          <w:p>
            <w:r>
              <w:rPr>
                <w:sz w:val="17"/>
              </w:rPr>
              <w:t>+4.0</w:t>
            </w:r>
          </w:p>
        </w:tc>
        <w:tc>
          <w:tcPr>
            <w:tcW w:type="dxa" w:w="1337"/>
            <w:tcMar>
              <w:top w:w="60" w:type="dxa"/>
              <w:bottom w:w="60" w:type="dxa"/>
              <w:left w:w="80" w:type="dxa"/>
              <w:right w:w="80" w:type="dxa"/>
            </w:tcMar>
          </w:tcPr>
          <w:p>
            <w:r>
              <w:rPr>
                <w:sz w:val="17"/>
              </w:rPr>
              <w:t>23.0</w:t>
            </w:r>
          </w:p>
        </w:tc>
      </w:tr>
      <w:tr>
        <w:tc>
          <w:tcPr>
            <w:tcW w:type="dxa" w:w="1337"/>
            <w:tcMar>
              <w:top w:w="60" w:type="dxa"/>
              <w:bottom w:w="60" w:type="dxa"/>
              <w:left w:w="80" w:type="dxa"/>
              <w:right w:w="80" w:type="dxa"/>
            </w:tcMar>
          </w:tcPr>
          <w:p>
            <w:r>
              <w:rPr>
                <w:sz w:val="17"/>
              </w:rPr>
              <w:t>9</w:t>
            </w:r>
          </w:p>
        </w:tc>
        <w:tc>
          <w:tcPr>
            <w:tcW w:type="dxa" w:w="1337"/>
            <w:tcMar>
              <w:top w:w="60" w:type="dxa"/>
              <w:bottom w:w="60" w:type="dxa"/>
              <w:left w:w="80" w:type="dxa"/>
              <w:right w:w="80" w:type="dxa"/>
            </w:tcMar>
          </w:tcPr>
          <w:p>
            <w:r>
              <w:rPr>
                <w:sz w:val="17"/>
              </w:rPr>
              <w:t>6. Web Shell Upload</w:t>
            </w:r>
          </w:p>
        </w:tc>
        <w:tc>
          <w:tcPr>
            <w:tcW w:type="dxa" w:w="1337"/>
            <w:tcMar>
              <w:top w:w="60" w:type="dxa"/>
              <w:bottom w:w="60" w:type="dxa"/>
              <w:left w:w="80" w:type="dxa"/>
              <w:right w:w="80" w:type="dxa"/>
            </w:tcMar>
          </w:tcPr>
          <w:p>
            <w:r>
              <w:rPr>
                <w:sz w:val="17"/>
              </w:rPr>
              <w:t>POST /upload: file=@/tmp/shell.php</w:t>
            </w:r>
          </w:p>
        </w:tc>
        <w:tc>
          <w:tcPr>
            <w:tcW w:type="dxa" w:w="1337"/>
            <w:tcMar>
              <w:top w:w="60" w:type="dxa"/>
              <w:bottom w:w="60" w:type="dxa"/>
              <w:left w:w="80" w:type="dxa"/>
              <w:right w:w="80" w:type="dxa"/>
            </w:tcMar>
          </w:tcPr>
          <w:p>
            <w:r>
              <w:rPr>
                <w:sz w:val="17"/>
              </w:rPr>
              <w:t>file_upload</w:t>
            </w:r>
          </w:p>
        </w:tc>
        <w:tc>
          <w:tcPr>
            <w:tcW w:type="dxa" w:w="1337"/>
            <w:tcMar>
              <w:top w:w="60" w:type="dxa"/>
              <w:bottom w:w="60" w:type="dxa"/>
              <w:left w:w="80" w:type="dxa"/>
              <w:right w:w="80" w:type="dxa"/>
            </w:tcMar>
          </w:tcPr>
          <w:p>
            <w:r>
              <w:rPr>
                <w:sz w:val="17"/>
              </w:rPr>
              <w:t>T1505.003 Web Shell</w:t>
            </w:r>
          </w:p>
        </w:tc>
        <w:tc>
          <w:tcPr>
            <w:tcW w:type="dxa" w:w="1337"/>
            <w:tcMar>
              <w:top w:w="60" w:type="dxa"/>
              <w:bottom w:w="60" w:type="dxa"/>
              <w:left w:w="80" w:type="dxa"/>
              <w:right w:w="80" w:type="dxa"/>
            </w:tcMar>
          </w:tcPr>
          <w:p>
            <w:r>
              <w:rPr>
                <w:sz w:val="17"/>
              </w:rPr>
              <w:t>+3.0</w:t>
            </w:r>
          </w:p>
        </w:tc>
        <w:tc>
          <w:tcPr>
            <w:tcW w:type="dxa" w:w="1337"/>
            <w:tcMar>
              <w:top w:w="60" w:type="dxa"/>
              <w:bottom w:w="60" w:type="dxa"/>
              <w:left w:w="80" w:type="dxa"/>
              <w:right w:w="80" w:type="dxa"/>
            </w:tcMar>
          </w:tcPr>
          <w:p>
            <w:r>
              <w:rPr>
                <w:sz w:val="17"/>
              </w:rPr>
              <w:t>26.0</w:t>
            </w:r>
          </w:p>
        </w:tc>
      </w:tr>
    </w:tbl>
    <w:p>
      <w:pPr>
        <w:spacing w:after="160"/>
      </w:pPr>
    </w:p>
    <w:p>
      <w:pPr>
        <w:jc w:val="center"/>
      </w:pPr>
      <w:r>
        <w:rPr>
          <w:i/>
          <w:sz w:val="19"/>
        </w:rPr>
        <w:t>Table 1: Ground-truth event ledger and MITRE attribution from the authenticated campaign session (cumulative severity 26.0).</w:t>
      </w:r>
    </w:p>
    <w:p>
      <w:pPr>
        <w:spacing w:before="280" w:after="80"/>
      </w:pPr>
      <w:r>
        <w:rPr>
          <w:b/>
          <w:color w:val="1B365D"/>
          <w:sz w:val="28"/>
        </w:rPr>
        <w:t>5. Technical Resolution of Open Review Items</w:t>
      </w:r>
    </w:p>
    <w:p>
      <w:pPr>
        <w:spacing w:before="200" w:after="60"/>
      </w:pPr>
      <w:r>
        <w:rPr>
          <w:b/>
          <w:color w:val="2E5B88"/>
          <w:sz w:val="24"/>
        </w:rPr>
        <w:t>5.1 Item 1: Session Count from Committed Harness Run</w:t>
      </w:r>
    </w:p>
    <w:p>
      <w:r>
        <w:t>The committed execution of attacker/scripts/full-attack.sh produces exactly 7 sessions across 15 total events in the database:</w:t>
        <w:br/>
        <w:t>• 1 persistent authenticated campaign session (9 events, severity 26.0) bound together via the Flask session cookie.</w:t>
        <w:br/>
        <w:t>• 5 unauthenticated credential stuffing sessions (1 event each, severity 0.5, T1110) because password spray attempts send no cookies.</w:t>
        <w:br/>
        <w:t>• 1 unauthenticated nmap scan session (1 event, severity 1.0, T1046).</w:t>
        <w:br/>
        <w:t>The historical 13 vs 14 session discussion pertained to attacker/scripts/hack-demo.sh with an 11-word wordlist. We report strictly the single concrete count from the committed full-attack run: 7 sessions.</w:t>
      </w:r>
    </w:p>
    <w:p>
      <w:pPr>
        <w:spacing w:before="200" w:after="60"/>
      </w:pPr>
      <w:r>
        <w:rPr>
          <w:b/>
          <w:color w:val="2E5B88"/>
          <w:sz w:val="24"/>
        </w:rPr>
        <w:t>5.2 Item 2: Correlation is Cross-Honeypot Only</w:t>
      </w:r>
    </w:p>
    <w:p>
      <w:r>
        <w:t>In core-api/main.py:441-455, session correlation explicitly enforces AttackSession.honeypot != honeypot. The 5-minute sliding window is strictly designed for cross-decoy transitions (e.g., an attacker scanning Dionaea SMB before moving to Cowrie SSH). For events arriving on the same decoy service without an existing session cookie, every new session ID is intentionally treated as an independent connection. This ensures high-volume password spray bursts from an attacker remain distinct rather than artificially conflating into a single long-lived session.</w:t>
      </w:r>
    </w:p>
    <w:p>
      <w:pPr>
        <w:spacing w:before="200" w:after="60"/>
      </w:pPr>
      <w:r>
        <w:rPr>
          <w:b/>
          <w:color w:val="2E5B88"/>
          <w:sz w:val="24"/>
        </w:rPr>
        <w:t>5.3 Item 3: Exact ATT&amp;CK Labels (T1082, T1033, T1190, T1505.003)</w:t>
      </w:r>
    </w:p>
    <w:p>
      <w:r>
        <w:t>Attribution tags strictly match established taxonomies and codebase implementations:</w:t>
        <w:br/>
        <w:t>• uname -&gt; T1082: The rule table in core-api/mitre.py maps 'uname' strictly to T1082 (System Information Discovery, weight 1.0), separating it from 'whoami' and 'id' which map to T1033 (System Owner/User Discovery, weight 1.0).</w:t>
        <w:br/>
        <w:t>• SQLi Login Bypass -&gt; T1190: SQL injection authentication bypass is an application exploitation vulnerability. In attack-target/app.py and core-api/mitre.py, SQLi bypass emits event type 'sqli' which maps strictly to T1190 (Exploit Public-Facing Application, weight 4.0). Legitimate credential logins continue to map to T1078 (Valid Accounts).</w:t>
        <w:br/>
        <w:t>• Web Shell Upload -&gt; T1505.003: Verified against attack.mitre.org, uploading a PHP webshell (shell.php) represents Server Software Component: Web Shell (T1505.003, weight 3.0) under Persistence, not data exfiltration.</w:t>
      </w:r>
    </w:p>
    <w:p>
      <w:pPr>
        <w:spacing w:before="200" w:after="60"/>
      </w:pPr>
      <w:r>
        <w:rPr>
          <w:b/>
          <w:color w:val="2E5B88"/>
          <w:sz w:val="24"/>
        </w:rPr>
        <w:t>5.4 Item 4: Decoupled Role of LLM: Post-Capture Summarizer vs Interactive Decoy</w:t>
      </w:r>
    </w:p>
    <w:p>
      <w:r>
        <w:t>In DeceptionNet, the LLM is strictly decoupled from live interaction:</w:t>
        <w:br/>
        <w:t>• Interactive decoy emulation is handled entirely by Cowrie, Dionaea, and Flask state machines.</w:t>
        <w:br/>
        <w:t>• The LLM service (Google Gemini 2.5 Flash / Claude 3 Haiku) operates asynchronously *after* capture as a threat intelligence post-processor. It ingests the captured event ledger once a session concludes, generates executive natural language summaries for SOC operators, and synthesizes incident narrative paragraphs for automated ReportLab PDF reports (core-api/report.py).</w:t>
        <w:br/>
        <w:t>• The LLM plays no role in decoy emulation, command generation, or honeypot execution; it is solely an offline reporting assistant.</w:t>
      </w:r>
    </w:p>
    <w:p>
      <w:pPr>
        <w:spacing w:before="200" w:after="60"/>
      </w:pPr>
      <w:r>
        <w:rPr>
          <w:b/>
          <w:color w:val="2E5B88"/>
          <w:sz w:val="24"/>
        </w:rPr>
        <w:t>5.5 Item 5: Concurrency Safety &amp; Database Transaction Guarantees</w:t>
      </w:r>
    </w:p>
    <w:p>
      <w:r>
        <w:t>High-volume honeypot bursts can trigger race conditions when multiple forwarder threads post events concurrently. DeceptionNet implements two robust transaction guarantees:</w:t>
        <w:br/>
        <w:t>1. Atomic Score Updates: The guarantee against lost severity updates rests mathematically on the SQL engine's atomic addition guarantee:</w:t>
        <w:br/>
        <w:t xml:space="preserve">   UPDATE AttackSession SET severity_score = coalesce(severity_score, 0) + weight</w:t>
        <w:br/>
        <w:t xml:space="preserve">   This eliminates Python-level read-modify-write lost-update races regardless of backend concurrency. (This is an engine-level guarantee, not an empirical claim from a SQLite test, since SQLite serializes write transactions).</w:t>
        <w:br/>
        <w:t>2. Savepoints for Technique Deduplication (main.py:472-498): Uses db.begin_nested() to catch duplicate key conflicts on (session_id, technique, source) without aborting outer transaction state.</w:t>
        <w:br/>
        <w:t>3. Multi-Threaded Concurrency Test: test_concurrent_upsert_technique_threads spawns 8 concurrent threads attempting simultaneous technique upserts against SQLite in WAL mode, asserting that all savepoints recover cleanly and exactly 1 deduplicated record persists.</w:t>
      </w:r>
    </w:p>
    <w:p>
      <w:pPr>
        <w:spacing w:before="200" w:after="60"/>
      </w:pPr>
      <w:r>
        <w:rPr>
          <w:b/>
          <w:color w:val="2E5B88"/>
          <w:sz w:val="24"/>
        </w:rPr>
        <w:t>5.6 Item 6: Candid Limitations of the Heuristic Grounding Filter</w:t>
      </w:r>
    </w:p>
    <w:p>
      <w:r>
        <w:t>In ai-service/main.py:_grounding_check, candidate MITRE techniques retrieved via FAISS vector search are filtered by checking for lexical token overlap against raw event strings.</w:t>
        <w:br/>
        <w:t>While this heuristic successfully prevents naive hallucinations, it is inherently gameable: if an attacker embeds common security terms into command arguments (e.g., ping -c 1 'kerberoasting privilege escalation discovery'), the filter matches these substring tokens and accepts unrelated techniques. Production systems should replace token matching with Abstract Syntax Tree (AST) command parsing or Natural Language Inference (NLI) cross-encoders.</w:t>
      </w:r>
    </w:p>
    <w:p>
      <w:pPr>
        <w:spacing w:before="280" w:after="80"/>
      </w:pPr>
      <w:r>
        <w:rPr>
          <w:b/>
          <w:color w:val="1B365D"/>
          <w:sz w:val="28"/>
        </w:rPr>
        <w:t>6. Automated Verification Suite (84 Tests)</w:t>
      </w:r>
    </w:p>
    <w:p>
      <w:r>
        <w:t>The DeceptionNet test suite consists of 84 automated tests executed via pytest core-api/tests with zero failures:</w:t>
        <w:br/>
        <w:t>• test_mitre.py (61 tests): Verifies all rule specifications across keyword signatures and event types, validating word boundaries, case insensitivity, and rule precedence (including uname -&gt; T1082 and whoami -&gt; T1033).</w:t>
        <w:br/>
        <w:t>• test_correlation.py (12 tests): Verifies exact session matching, cross-honeypot correlation, intra-honeypot isolation, and 8-thread concurrent upsert execution with database savepoints.</w:t>
        <w:br/>
        <w:t>• test_scoring.py (9 tests): Verifies monotonic scoring formulas, zero-weight filtering, and test_harness_attack_session_score asserting the exact score of 26.0 matching the authenticated campaign session in results/case_study_raw.json.</w:t>
        <w:br/>
        <w:t>• test_evaluation_benchmark.py (2 tests): Verifies schema contracts for illustrative sample datasets and tests 5 real boundary scenarios in get_or_create_session (cross-honeypot merge, same-honeypot isolation, 4m50s inside window, 5m10s outside window, and NAT collision).</w:t>
      </w:r>
    </w:p>
    <w:p>
      <w:pPr>
        <w:spacing w:before="280" w:after="80"/>
      </w:pPr>
      <w:r>
        <w:rPr>
          <w:b/>
          <w:color w:val="1B365D"/>
          <w:sz w:val="28"/>
        </w:rPr>
        <w:t>7. System Limitations &amp; Target Venue Alignment</w:t>
      </w:r>
    </w:p>
    <w:p>
      <w:r>
        <w:t>In keeping with academic integrity, we candidly outline the system's operational boundaries:</w:t>
        <w:br/>
        <w:t>1. Multiplexed Networks (NAT): When multiple hosts share a single public IP, the 5-minute IP heuristic merges cross-honeypot sessions unless supplemented by client TLS/SSH fingerprinting (HASSH) or HTTP cookies.</w:t>
        <w:br/>
        <w:t>2. Keyword Obfuscation: Static rule matching relies on recognizable command names; base64-encoded or obfuscated payloads bypass static keyword rules unless caught by semantic vector search.</w:t>
        <w:br/>
        <w:t>3. Venue Recommendation: As a functional educational prototype evaluated through an 84-test verification suite and a real attack case study, DeceptionNet is appropriately targeted for an Undergraduate Capstone Track, Student System Demonstration Track, or Academic Workshop. Scopus indexing depends on the specific publisher proceedings (e.g., IEEE Xplore, ACM ICPS, Springer LNCS) and must be verified on the Scopus Sources list prior to submission.</w:t>
      </w:r>
    </w:p>
    <w:p>
      <w:pPr>
        <w:spacing w:before="280" w:after="80"/>
      </w:pPr>
      <w:r>
        <w:rPr>
          <w:b/>
          <w:color w:val="1B365D"/>
          <w:sz w:val="28"/>
        </w:rPr>
        <w:t>8. Conclusion</w:t>
      </w:r>
    </w:p>
    <w:p>
      <w:r>
        <w:t>DeceptionNet establishes an open-source, containerized active defense architecture combining deterministic ATT&amp;CK mapping, concurrency-safe telemetry ingestion, and decoupled AI incident reporting. By rejecting synthetic benchmarks and grounding every reported metric in verified code executions, this work provides a transparent foundation for cyber deception research and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