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B365D"/>
          <w:sz w:val="36"/>
        </w:rPr>
        <w:t>DeceptionNet: An Architectural Framework for Multi-Honeypot Active Defense, Deterministic ATT&amp;CK Attribution, and Decoupled Threat Intelligence</w:t>
      </w:r>
    </w:p>
    <w:p>
      <w:pPr>
        <w:spacing w:after="320"/>
        <w:jc w:val="center"/>
      </w:pPr>
      <w:r>
        <w:rPr>
          <w:b/>
          <w:sz w:val="22"/>
        </w:rPr>
        <w:t>Piyush Madan Shinde, Shivani Danwe, [NEED FROM AUTHOR: Co-Author 3], [NEED FROM AUTHOR: Co-Author 4]</w:t>
        <w:br/>
      </w:r>
      <w:r>
        <w:rPr>
          <w:i/>
          <w:color w:val="444444"/>
          <w:sz w:val="19"/>
        </w:rPr>
        <w:t>Department of Computer Science and Engineering</w:t>
        <w:br/>
        <w:t>SVERI's College of Engineering, Pandharpur</w:t>
        <w:br/>
        <w:t>Affiliated with Punyashlok Ahilyadevi Holkar Solapur University, Solapur, Maharashtra, India</w:t>
        <w:br/>
        <w:t>[NEED FROM AUTHOR: Author email addresses]</w:t>
        <w:br/>
        <w:t>Repository: https://github.com/Pi25sh/DeceptionNet (Pinned SHA: 153c58d6b3460c7fd043651d3e302929ee463002)</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80"/>
            </w:pPr>
            <w:r>
              <w:rPr>
                <w:b/>
              </w:rPr>
              <w:t>Abstract—</w:t>
            </w:r>
            <w:r>
              <w:rPr>
                <w:sz w:val="20"/>
              </w:rPr>
              <w:t>Modern enterprise cyber defense increasingly incorporates deception technology to lure, observe, and delay adversaries before they compromise production assets. However, standalone honeypots often present operational challenges: telemetry remains fragmented across heterogeneous daemon formats, manual threat mapping introduces operational latency, and recent proposals to embed generative Large Language Models directly into interactive shell execution introduce prompt injection risks and hallucinated outputs. This paper presents DeceptionNet, an open-source active defense platform built on isolated Docker microservices. DeceptionNet integrates multi-service honeypot decoys (Cowrie SSH/Telnet, Dionaea multi-protocol, and a vulnerable Flask web application) with an asynchronous log forwarder, a deterministic 34-rule MITRE ATT&amp;CK mapping engine spanning 22 distinct techniques, monotonic additive severity scoring, and a sliding-window session correlation engine. Crucially, DeceptionNet strictly decouples the LLM from interactive decoy emulation: generative models serve exclusively as post-capture incident summarizers for operators. Platform logic is verified through an 84-test automated pytest suite validating rule boundaries, correlation invariants, and concurrent database savepoints. System operation is demonstrated through a live Docker harness execution across container bridge networks, recording 14 ingested events across 6 distinct sessions, including a persistent authenticated attack campaign of 9 events achieving a cumulative severity score of 26.0.</w:t>
            </w:r>
          </w:p>
          <w:p>
            <w:r>
              <w:rPr>
                <w:b/>
              </w:rPr>
              <w:t>Keywords—</w:t>
            </w:r>
            <w:r>
              <w:rPr>
                <w:i/>
                <w:sz w:val="19"/>
              </w:rPr>
              <w:t>Honeypots, Active Cyber Defense, MITRE ATT&amp;CK, Telemetry Normalization, Cross-Honeypot Correlation, Decoupled LLM Summarization, Reproducible Systems.</w:t>
            </w:r>
          </w:p>
        </w:tc>
      </w:tr>
    </w:tbl>
    <w:p>
      <w:pPr>
        <w:spacing w:after="200"/>
      </w:pPr>
    </w:p>
    <w:p>
      <w:pPr>
        <w:spacing w:before="280" w:after="80"/>
      </w:pPr>
      <w:r>
        <w:rPr>
          <w:b/>
          <w:color w:val="1B365D"/>
          <w:sz w:val="27"/>
        </w:rPr>
        <w:t>1. Introduction</w:t>
      </w:r>
    </w:p>
    <w:p>
      <w:r>
        <w:t>Active deception platforms deploy network decoys that emulate legitimate computational assets to detect unauthorized reconnaissance and lateral movement early in an intrusion lifecycle [1], [2]. When placed on unadvertised IP space or isolated demilitarized zones, benign internal users have no operational cause to interact with these systems. Consequently, interactions with honeypots are anomalous by definition, yielding significantly lower false-positive rates than perimeter intrusion detection systems that process noisy production traffic [3].</w:t>
      </w:r>
    </w:p>
    <w:p>
      <w:r>
        <w:t>Despite their strategic utility, deploying multi-honeypot infrastructures in resource-constrained or educational environments exposes three significant architectural hurdles:</w:t>
      </w:r>
    </w:p>
    <w:p>
      <w:r>
        <w:rPr>
          <w:b/>
        </w:rPr>
        <w:t xml:space="preserve">1. Telemetry Fragmentation: </w:t>
      </w:r>
      <w:r>
        <w:t>Standard honeypots (e.g., Cowrie [4] for SSH/Telnet and Dionaea [5] for binary malware capture) emit events in disparate, proprietary JSON and binary log formats. Security operators cannot readily query or aggregate cross-honeypot telemetry without developing custom translation middleware.</w:t>
        <w:br/>
      </w:r>
      <w:r>
        <w:rPr>
          <w:b/>
        </w:rPr>
        <w:t xml:space="preserve">2. Semantic Attribution Overhead: </w:t>
      </w:r>
      <w:r>
        <w:t>Translating raw shell commands, HTTP payloads, and connection probes into standardized threat intelligence (such as the MITRE ATT&amp;CK enterprise matrix [6]) often relies on manual post-hoc analyst triage, creating an operational bottleneck during high-volume automated attacks.</w:t>
        <w:br/>
      </w:r>
      <w:r>
        <w:rPr>
          <w:b/>
        </w:rPr>
        <w:t xml:space="preserve">3. Risks of Direct LLM Shell Emulation: </w:t>
      </w:r>
      <w:r>
        <w:t>Recent research has explored inserting Large Language Models directly into the terminal execution loop to generate dynamic, deceptive shell responses [7], [8]. While interactive LLM honeypots achieve high conversational realism, they introduce severe vulnerabilities: adversaries can exploit indirect prompt injection [9] to alter system state, induce ungrounded hallucinations [10], or execute denial-of-wallet attacks through unbounded token consumption [11].</w:t>
      </w:r>
    </w:p>
    <w:p>
      <w:r>
        <w:t>To resolve these challenges without incurring the hazards of interactive generative execution, this work presents DeceptionNet, an open-source active defense platform built on containerized microservices. DeceptionNet decouples deception execution from artificial intelligence: low-latency deterministic rules handle telemetry normalization, MITRE ATT&amp;CK mapping, and threat severity scoring, while LLMs operate strictly post-capture as asynchronous narrative summarizers. This paper makes three primary contributions:</w:t>
      </w:r>
    </w:p>
    <w:p>
      <w:r>
        <w:rPr>
          <w:b/>
        </w:rPr>
        <w:t xml:space="preserve">• Architectural Decoupling: </w:t>
      </w:r>
      <w:r>
        <w:t>We implement an isolated active defense framework where decoys run within a restricted honeypot network, log forwarders bridge events into a centralized ingestion API, and generative models are strictly barred from the live network interaction loop.</w:t>
        <w:br/>
      </w:r>
      <w:r>
        <w:rPr>
          <w:b/>
        </w:rPr>
        <w:t xml:space="preserve">• Deterministic MITRE Attribution &amp; Scoring: </w:t>
      </w:r>
      <w:r>
        <w:t>We define a rule engine containing 34 specifications (16 command keyword rules spanning 50 signatures and 18 event-type normalization rules) mapping decoy interactions to 22 distinct MITRE ATT&amp;CK techniques with monotonic additive severity scoring.</w:t>
        <w:br/>
      </w:r>
      <w:r>
        <w:rPr>
          <w:b/>
        </w:rPr>
        <w:t xml:space="preserve">• Reproducible Evaluation &amp; Case Study: </w:t>
      </w:r>
      <w:r>
        <w:t>We provide an 84-test automated pytest verification suite covering correlation invariants, database concurrency savepoints, and rule boundaries, alongside an end-to-end multi-stage attack case study executed across the live Docker compose network capturing 14 events across 6 sessions (campaign severity 26.0).</w:t>
      </w:r>
    </w:p>
    <w:p>
      <w:pPr>
        <w:spacing w:before="280" w:after="80"/>
      </w:pPr>
      <w:r>
        <w:rPr>
          <w:b/>
          <w:color w:val="1B365D"/>
          <w:sz w:val="27"/>
        </w:rPr>
        <w:t>2. Related Work</w:t>
      </w:r>
    </w:p>
    <w:p>
      <w:r>
        <w:t>DeceptionNet builds upon foundational literature in network deception, alert correlation, and recent explorations of language models in security systems.</w:t>
      </w:r>
    </w:p>
    <w:p>
      <w:pPr>
        <w:spacing w:before="200" w:after="60"/>
      </w:pPr>
      <w:r>
        <w:rPr>
          <w:b/>
          <w:color w:val="2E5B88"/>
          <w:sz w:val="23"/>
        </w:rPr>
        <w:t>2.1 Honeypots and Deception Frameworks</w:t>
      </w:r>
    </w:p>
    <w:p>
      <w:r>
        <w:t>The conceptual foundations of computational deception were articulated by Cohen [12], [13] and operationalized by Spitzner [1] and Provos [14]. Low-interaction honeypots, exemplified by Honeyd [14], emulate network daemon banners and basic protocol handshakes with minimal resource overhead. High-interaction honeypots expose real operating systems to capture novel exploit payloads but carry significant risk of host compromise and lateral pivot [15]. Specialized medium-interaction systems, such as Cowrie [4] for SSH/Telnet and Dionaea [5] for binary payload capture, balance interactivity and safety. Multi-honeypot distributions like T-Pot [16] package disparate daemons into a unified appliance but rely on heavyweight ELK stacks that do not natively map commands to standardized MITRE ATT&amp;CK technique weights.</w:t>
      </w:r>
    </w:p>
    <w:p>
      <w:pPr>
        <w:spacing w:before="200" w:after="60"/>
      </w:pPr>
      <w:r>
        <w:rPr>
          <w:b/>
          <w:color w:val="2E5B88"/>
          <w:sz w:val="23"/>
        </w:rPr>
        <w:t>2.2 Alert Correlation and Attack Reconstruction</w:t>
      </w:r>
    </w:p>
    <w:p>
      <w:r>
        <w:t>Intrusion alert correlation was formalized by Valeur et al. [17] and Ning et al. [18], who proposed multi-stage pipelines comprising alert normalization, fusion, verification, and causal scenario reconstruction. Sadoddin and Ghorbani [19] surveyed alert correlation methodologies, emphasizing sliding-window temporal heuristics and attribute-similarity grouping. DeceptionNet adapts these classical correlation principles to multi-honeypot architectures: exact session identifiers isolate concurrent sessions within the same honeypot daemon, while cross-honeypot events sharing an IP within a 5-minute temporal window are fused to reconstruct unified multi-stage adversary campaigns.</w:t>
      </w:r>
    </w:p>
    <w:p>
      <w:pPr>
        <w:spacing w:before="200" w:after="60"/>
      </w:pPr>
      <w:r>
        <w:rPr>
          <w:b/>
          <w:color w:val="2E5B88"/>
          <w:sz w:val="23"/>
        </w:rPr>
        <w:t>2.3 Positioning Against Interactive LLM Honeypots</w:t>
      </w:r>
    </w:p>
    <w:p>
      <w:r>
        <w:t>Recent security research has investigated deploying generative LLMs directly as terminal shells to deceive attackers. HoneyGPT [7] uses structured prompt engineering and chain-of-thought prompting to maintain stateful shell interaction. Otal and Canbaz [8] fine-tune open-source models on command-response corpora to construct interactive Linux environments, while Bridges et al. [20] systematize knowledge on LLM-honeypot convergence. Although interactive LLMs demonstrate high conversational fidelity, they suffer from fundamental operational liabilities: Greshake et al. [9] demonstrated that adversarial inputs can trigger indirect prompt injection, Kang et al. [11] showed that programmatic LLM behaviors can be manipulated through standard security attacks, and Ji et al. [10] surveyed extensive failure modes in ungrounded text generation. DeceptionNet fundamentally diverges from interactive LLM honeypots: rather than allowing an LLM to generate network replies, all interactions are handled by deterministic daemons, and generative models are invoked strictly post-capture to synthesize immutable telemetry for human operators.</w:t>
      </w:r>
    </w:p>
    <w:p>
      <w:pPr>
        <w:spacing w:before="280" w:after="80"/>
      </w:pPr>
      <w:r>
        <w:rPr>
          <w:b/>
          <w:color w:val="1B365D"/>
          <w:sz w:val="27"/>
        </w:rPr>
        <w:t>3. Threat Model and Scope</w:t>
      </w:r>
    </w:p>
    <w:p>
      <w:r>
        <w:t>We assume an external adversary attempting unauthorized network access, remote command execution, privilege escalation, and data exfiltration against an organization's perimeter. The adversary possesses capabilities to execute automated port scanning (e.g., nmap), credential stuffing (e.g., hydra), SQL injection, web application exploitation, and post-exploitation shell commands. Adversaries may attempt to evade detection using keyword obfuscation or by distributing attacks across multiple network protocols.</w:t>
      </w:r>
    </w:p>
    <w:p>
      <w:r>
        <w:t>Scope &amp; Trust Boundaries: DeceptionNet operates as an internal or DMZ detection sensor. The core-api backend, PostgreSQL store, AI summarization microservice, and React dashboard reside on an internal bridge network ('deceptionnet') that is completely unreachable from the honeypots. The honeypots reside on an isolated bridge network ('honeypot_net'). The only data conduit between networks is unidirectional asynchronous telemetry forwarding via dedicated forwarder containers. We explicitly consider live production deployment, evasive malware binary unpacking, and adversary counter-intelligence in the wild to be outside the scope of this system design and lab evaluation.</w:t>
      </w:r>
    </w:p>
    <w:p>
      <w:pPr>
        <w:spacing w:before="280" w:after="80"/>
      </w:pPr>
      <w:r>
        <w:rPr>
          <w:b/>
          <w:color w:val="1B365D"/>
          <w:sz w:val="27"/>
        </w:rPr>
        <w:t>4. System Design</w:t>
      </w:r>
    </w:p>
    <w:p>
      <w:r>
        <w:t>DeceptionNet comprises five interconnected microservices partitioned across dual Docker networks, as illustrated in the system architecture:</w:t>
      </w:r>
    </w:p>
    <w:p>
      <w:r>
        <w:rPr>
          <w:b/>
        </w:rPr>
        <w:t>1. Honeypot Decoy Subsystem (honeypot_net):</w:t>
        <w:br/>
      </w:r>
      <w:r>
        <w:t>Emulates vulnerable services exposed to attackers. Cowrie emulates SSH and Telnet protocols; Dionaea emulates SMB, FTP, SIP, and HTTP protocols; a custom decoy simulates Redis (port 16379), SMTP (port 2525), and HTTP admin panels; and the Attack-Target application simulates an enterprise portal (port 9090) with intentional vulnerabilities.</w:t>
        <w:br/>
      </w:r>
      <w:r>
        <w:rPr>
          <w:b/>
        </w:rPr>
        <w:t>2. Asynchronous Telemetry Forwarders:</w:t>
        <w:br/>
      </w:r>
      <w:r>
        <w:t>Lightweight Python forwarders tail decoy log files in real time. Forwarders normalize heterogeneous log formats into a common schema (session ID, source IP, event type, timestamp, command input, and raw payload) and dispatch HTTP POST requests across the bridge network to core-api.</w:t>
        <w:br/>
      </w:r>
      <w:r>
        <w:rPr>
          <w:b/>
        </w:rPr>
        <w:t>3. Central Security Engine (core-api):</w:t>
        <w:br/>
      </w:r>
      <w:r>
        <w:t>Ingests normalized telemetry, coordinates sliding-window session attribution, executes deterministic ATT&amp;CK mapping, calculates monotonic severity scores, and enforces OAuth2 JWT authentication and RBAC for operator endpoints and WebSocket broadcasts.</w:t>
        <w:br/>
      </w:r>
      <w:r>
        <w:rPr>
          <w:b/>
        </w:rPr>
        <w:t>4. Decoupled AI Threat Intelligence Service (ai-service):</w:t>
        <w:br/>
      </w:r>
      <w:r>
        <w:t>Houses an asynchronous summarization engine and a local FAISS semantic index for MITRE ATT&amp;CK techniques, invoked only after session telemetry has been ingested.</w:t>
        <w:br/>
      </w:r>
      <w:r>
        <w:rPr>
          <w:b/>
        </w:rPr>
        <w:t>5. Operator Dashboard (dashboard):</w:t>
        <w:br/>
      </w:r>
      <w:r>
        <w:t>A responsive single-page web interface built with React 18 and Vite, streaming live incident feeds over WebSockets and rendering session timelines, ATT&amp;CK distributions, and PDF incident reports.</w:t>
      </w:r>
    </w:p>
    <w:p>
      <w:pPr>
        <w:spacing w:before="200" w:after="60"/>
      </w:pPr>
      <w:r>
        <w:rPr>
          <w:b/>
          <w:color w:val="2E5B88"/>
          <w:sz w:val="23"/>
        </w:rPr>
        <w:t>4.1 Deterministic MITRE ATT&amp;CK Mapping Engine</w:t>
      </w:r>
    </w:p>
    <w:p>
      <w:r>
        <w:t>To ensure predictable attribution latency (&lt; 1 ms per event) and eliminate non-deterministic hallucinations during active attacks, core-api/mitre.py evaluates incoming telemetry against a deterministic two-tier rule hierarchy:</w:t>
      </w:r>
    </w:p>
    <w:p>
      <w:r>
        <w:rPr>
          <w:b/>
        </w:rPr>
        <w:t xml:space="preserve">• Command Keyword Rules (16 rules, 50 keywords): </w:t>
      </w:r>
      <w:r>
        <w:t>Evaluates shell commands using regex word-boundary matching (\b) to avoid sub-token false positives (e.g., ensuring 'id' matches user discovery without falsely triggering on 'rapid'). Specific rules take precedence over general ones: reading '/etc/passwd' or '/etc/shadow' maps to T1003.008 (weight 5.0) before generic password manipulation maps to T1098 (weight 3.0). System enumeration commands are strictly differentiated: 'whoami' and 'id' map to T1033 (weight 1.0), whereas 'uname' maps to T1082 (weight 1.0).</w:t>
        <w:br/>
      </w:r>
      <w:r>
        <w:rPr>
          <w:b/>
        </w:rPr>
        <w:t xml:space="preserve">• Event-Type Normalization Rules (18 rules): </w:t>
      </w:r>
      <w:r>
        <w:t>Evaluates normalized protocol actions directly. Rules are evaluated in specific-to-general order: 'login_failed' maps to T1110 (Brute Force, weight 0.5) and takes precedence over generic 'login' which maps to T1078 (Valid Accounts, weight 1.0). Application exploits map to high-severity techniques, including 'sqli' -&gt; T1190 (weight 4.0), 'file_upload' -&gt; T1505.003 (weight 3.0), and 'shellcode' -&gt; T1210 (weight 5.0).</w:t>
      </w:r>
    </w:p>
    <w:p>
      <w:pPr>
        <w:spacing w:before="200" w:after="60"/>
      </w:pPr>
      <w:r>
        <w:rPr>
          <w:b/>
          <w:color w:val="2E5B88"/>
          <w:sz w:val="23"/>
        </w:rPr>
        <w:t>4.2 Monotonic Additive Severity Scoring</w:t>
      </w:r>
    </w:p>
    <w:p>
      <w:r>
        <w:t>Session threat severity is computed as an incremental additive function over positively identified technique weights:</w:t>
        <w:br/>
        <w:t xml:space="preserve">   Severity_new = round(Severity_current + w_i, 2)  for w_i &gt; 0</w:t>
        <w:br/>
        <w:t>Unmapped commands or background noise contribute weight 0.0, leaving the cumulative score unchanged. As defined in the operator dashboard, severity scores map into four operational tiers: Low (&lt; 1.0), Elevated (1.0–2.4), High (2.5–3.9), and Critical (≥ 4.0). Because the severity score is monotonically non-decreasing, once an attacker executes an exploitation step, the session permanently retains its elevated triage priority.</w:t>
      </w:r>
    </w:p>
    <w:p>
      <w:pPr>
        <w:spacing w:before="200" w:after="60"/>
      </w:pPr>
      <w:r>
        <w:rPr>
          <w:b/>
          <w:color w:val="2E5B88"/>
          <w:sz w:val="23"/>
        </w:rPr>
        <w:t>4.3 Sliding-Window Session Correlation</w:t>
      </w:r>
    </w:p>
    <w:p>
      <w:r>
        <w:t>Session correlation is governed by get_or_create_session in core-api/main.py. The engine enforces two strict invariants:</w:t>
        <w:br/>
        <w:t>1. Intra-Honeypot Session Isolation: When an event arrives with an unseen session ID from a honeypot that already has an active session from that IP (e.g., a second Cowrie connection), the system creates a fresh session record. This prevents merging independent brute-force connections into a single synthetic session.</w:t>
        <w:br/>
        <w:t>2. Cross-Honeypot Campaign Fusion: When an event arrives from a different honeypot (e.g., Dionaea) sharing the same source IP within the correlation window (default: SESSION_CORRELATION_WINDOW_MINUTES = 5 minutes), the engine attaches the event to the most recent session, reconstructing the cross-protocol attack sequence.</w:t>
      </w:r>
    </w:p>
    <w:p>
      <w:pPr>
        <w:spacing w:before="200" w:after="60"/>
      </w:pPr>
      <w:r>
        <w:rPr>
          <w:b/>
          <w:color w:val="2E5B88"/>
          <w:sz w:val="23"/>
        </w:rPr>
        <w:t>4.4 Decoupled AI Threat Intelligence &amp; Reporting</w:t>
      </w:r>
    </w:p>
    <w:p>
      <w:r>
        <w:t>Generative AI capabilities (Google Gemini 2.5 Flash and Anthropic Claude 3 Haiku) are decoupled from interactive execution and invoked strictly on demand by SOC analysts. When requested, ai-service/main.py synthesizes committed session events into an executive incident narrative. An auxiliary semantic embedding service (using sentence-transformers all-MiniLM-L6-v2 across a 384-dimensional FAISS index) suggests candidate ATT&amp;CK techniques, which are subjected to a lexical grounding check verifying that technique terms appear in raw event logs before inclusion in final ReportLab PDF incident reports.</w:t>
      </w:r>
    </w:p>
    <w:p>
      <w:pPr>
        <w:spacing w:before="280" w:after="80"/>
      </w:pPr>
      <w:r>
        <w:rPr>
          <w:b/>
          <w:color w:val="1B365D"/>
          <w:sz w:val="27"/>
        </w:rPr>
        <w:t>5. Implementation &amp; Reproducibility</w:t>
      </w:r>
    </w:p>
    <w:p>
      <w:r>
        <w:t>DeceptionNet is implemented in Python and JavaScript and orchestrated via Docker Compose. The component versions and dependencies include:</w:t>
      </w:r>
    </w:p>
    <w:p>
      <w:r>
        <w:rPr>
          <w:b/>
        </w:rPr>
        <w:t xml:space="preserve">• Core API: </w:t>
      </w:r>
      <w:r>
        <w:t>FastAPI 0.115+, SQLAlchemy 2.0+ ORM, PostgreSQL 16 (production) or SQLite (testing), Uvicorn ASGI server.</w:t>
        <w:br/>
      </w:r>
      <w:r>
        <w:rPr>
          <w:b/>
        </w:rPr>
        <w:t xml:space="preserve">• Honeypot Daemons: </w:t>
      </w:r>
      <w:r>
        <w:t>Cowrie (latest Docker image), Dionaea (latest DinoTools image), Custom Decoy (Python 3.10 sockets), Attack-Target (Flask 3.1.3).</w:t>
        <w:br/>
      </w:r>
      <w:r>
        <w:rPr>
          <w:b/>
        </w:rPr>
        <w:t xml:space="preserve">• AI &amp; Embedding Models: </w:t>
      </w:r>
      <w:r>
        <w:t>Google Gemini 2.5 Flash API / Anthropic Claude 3 Haiku API, sentence-transformers all-MiniLM-L6-v2 (384-dim), FAISS-CPU 1.8+.</w:t>
        <w:br/>
      </w:r>
      <w:r>
        <w:rPr>
          <w:b/>
        </w:rPr>
        <w:t xml:space="preserve">• Operator Dashboard: </w:t>
      </w:r>
      <w:r>
        <w:t>React 18.2, Vite 5, Tailwind CSS, Native WebSocket API.</w:t>
        <w:br/>
      </w:r>
      <w:r>
        <w:rPr>
          <w:b/>
        </w:rPr>
        <w:t xml:space="preserve">• Reproducibility Instructions: </w:t>
      </w:r>
      <w:r>
        <w:t>The complete environment can be launched using 'docker compose up -d'. Automated unit tests are executed using 'pytest'. The attack harness is executed within the attacker container via 'docker compose exec attacker bash /opt/attack/scripts/full-attack.sh'.</w:t>
      </w:r>
    </w:p>
    <w:p>
      <w:pPr>
        <w:spacing w:before="280" w:after="80"/>
      </w:pPr>
      <w:r>
        <w:rPr>
          <w:b/>
          <w:color w:val="1B365D"/>
          <w:sz w:val="27"/>
        </w:rPr>
        <w:t>6. Evaluation</w:t>
      </w:r>
    </w:p>
    <w:p>
      <w:r>
        <w:t>In accordance with strict empirical integrity, we evaluate DeceptionNet exclusively against executed unit-test suites and a live Docker network case study. We make no claims of field deployment, detection accuracy over wild attackers, or superior detection performance relative to external commercial tools.</w:t>
      </w:r>
    </w:p>
    <w:p>
      <w:pPr>
        <w:spacing w:before="200" w:after="60"/>
      </w:pPr>
      <w:r>
        <w:rPr>
          <w:b/>
          <w:color w:val="2E5B88"/>
          <w:sz w:val="23"/>
        </w:rPr>
        <w:t>6.1 Automated Unit-Test Suite</w:t>
      </w:r>
    </w:p>
    <w:p>
      <w:r>
        <w:t>Platform logic is verified by an 84-test automated pytest suite in core-api/tests. All 84 tests pass with zero failures. The per-file test breakdown is as follows: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r>
              <w:rPr>
                <w:b/>
                <w:color w:val="FFFFFF"/>
                <w:sz w:val="19"/>
              </w:rPr>
              <w:t>Test Module</w:t>
            </w:r>
          </w:p>
        </w:tc>
        <w:tc>
          <w:tcPr>
            <w:tcW w:type="dxa" w:w="3120"/>
            <w:shd w:val="clear" w:color="auto" w:fill="1B365D"/>
          </w:tcPr>
          <w:p>
            <w:r>
              <w:rPr>
                <w:b/>
                <w:color w:val="FFFFFF"/>
                <w:sz w:val="19"/>
              </w:rPr>
              <w:t>Focus / Verified Behavioral Invariants</w:t>
            </w:r>
          </w:p>
        </w:tc>
        <w:tc>
          <w:tcPr>
            <w:tcW w:type="dxa" w:w="3120"/>
            <w:shd w:val="clear" w:color="auto" w:fill="1B365D"/>
          </w:tcPr>
          <w:p>
            <w:r>
              <w:rPr>
                <w:b/>
                <w:color w:val="FFFFFF"/>
                <w:sz w:val="19"/>
              </w:rPr>
              <w:t>Pass Count</w:t>
            </w:r>
          </w:p>
        </w:tc>
      </w:tr>
      <w:tr>
        <w:tc>
          <w:tcPr>
            <w:tcW w:type="dxa" w:w="3120"/>
            <w:tcMar>
              <w:top w:w="80" w:type="dxa"/>
              <w:bottom w:w="80" w:type="dxa"/>
              <w:left w:w="120" w:type="dxa"/>
              <w:right w:w="120" w:type="dxa"/>
            </w:tcMar>
            <w:shd w:val="clear" w:color="auto" w:fill="F9FAFC"/>
          </w:tcPr>
          <w:p>
            <w:r>
              <w:rPr>
                <w:sz w:val="18"/>
              </w:rPr>
              <w:t>core-api/tests/test_mitre.py</w:t>
            </w:r>
          </w:p>
        </w:tc>
        <w:tc>
          <w:tcPr>
            <w:tcW w:type="dxa" w:w="3120"/>
            <w:tcMar>
              <w:top w:w="80" w:type="dxa"/>
              <w:bottom w:w="80" w:type="dxa"/>
              <w:left w:w="120" w:type="dxa"/>
              <w:right w:w="120" w:type="dxa"/>
            </w:tcMar>
            <w:shd w:val="clear" w:color="auto" w:fill="F9FAFC"/>
          </w:tcPr>
          <w:p>
            <w:r>
              <w:rPr>
                <w:sz w:val="18"/>
              </w:rPr>
              <w:t>Rule table dimensions, ATT&amp;CK ID formats, keyword word-boundaries, event-type precedence</w:t>
            </w:r>
          </w:p>
        </w:tc>
        <w:tc>
          <w:tcPr>
            <w:tcW w:type="dxa" w:w="3120"/>
            <w:tcMar>
              <w:top w:w="80" w:type="dxa"/>
              <w:bottom w:w="80" w:type="dxa"/>
              <w:left w:w="120" w:type="dxa"/>
              <w:right w:w="120" w:type="dxa"/>
            </w:tcMar>
            <w:shd w:val="clear" w:color="auto" w:fill="F9FAFC"/>
          </w:tcPr>
          <w:p>
            <w:r>
              <w:rPr>
                <w:sz w:val="18"/>
              </w:rPr>
              <w:t>61 passed</w:t>
            </w:r>
          </w:p>
        </w:tc>
      </w:tr>
      <w:tr>
        <w:tc>
          <w:tcPr>
            <w:tcW w:type="dxa" w:w="3120"/>
            <w:tcMar>
              <w:top w:w="80" w:type="dxa"/>
              <w:bottom w:w="80" w:type="dxa"/>
              <w:left w:w="120" w:type="dxa"/>
              <w:right w:w="120" w:type="dxa"/>
            </w:tcMar>
          </w:tcPr>
          <w:p>
            <w:r>
              <w:rPr>
                <w:sz w:val="18"/>
              </w:rPr>
              <w:t>core-api/tests/test_correlation.py</w:t>
            </w:r>
          </w:p>
        </w:tc>
        <w:tc>
          <w:tcPr>
            <w:tcW w:type="dxa" w:w="3120"/>
            <w:tcMar>
              <w:top w:w="80" w:type="dxa"/>
              <w:bottom w:w="80" w:type="dxa"/>
              <w:left w:w="120" w:type="dxa"/>
              <w:right w:w="120" w:type="dxa"/>
            </w:tcMar>
          </w:tcPr>
          <w:p>
            <w:r>
              <w:rPr>
                <w:sz w:val="18"/>
              </w:rPr>
              <w:t>Sliding-window bounds, cross-honeypot fusion, intra-honeypot isolation, concurrent savepoints</w:t>
            </w:r>
          </w:p>
        </w:tc>
        <w:tc>
          <w:tcPr>
            <w:tcW w:type="dxa" w:w="3120"/>
            <w:tcMar>
              <w:top w:w="80" w:type="dxa"/>
              <w:bottom w:w="80" w:type="dxa"/>
              <w:left w:w="120" w:type="dxa"/>
              <w:right w:w="120" w:type="dxa"/>
            </w:tcMar>
          </w:tcPr>
          <w:p>
            <w:r>
              <w:rPr>
                <w:sz w:val="18"/>
              </w:rPr>
              <w:t>12 passed</w:t>
            </w:r>
          </w:p>
        </w:tc>
      </w:tr>
      <w:tr>
        <w:tc>
          <w:tcPr>
            <w:tcW w:type="dxa" w:w="3120"/>
            <w:tcMar>
              <w:top w:w="80" w:type="dxa"/>
              <w:bottom w:w="80" w:type="dxa"/>
              <w:left w:w="120" w:type="dxa"/>
              <w:right w:w="120" w:type="dxa"/>
            </w:tcMar>
            <w:shd w:val="clear" w:color="auto" w:fill="F9FAFC"/>
          </w:tcPr>
          <w:p>
            <w:r>
              <w:rPr>
                <w:sz w:val="18"/>
              </w:rPr>
              <w:t>core-api/tests/test_scoring.py</w:t>
            </w:r>
          </w:p>
        </w:tc>
        <w:tc>
          <w:tcPr>
            <w:tcW w:type="dxa" w:w="3120"/>
            <w:tcMar>
              <w:top w:w="80" w:type="dxa"/>
              <w:bottom w:w="80" w:type="dxa"/>
              <w:left w:w="120" w:type="dxa"/>
              <w:right w:w="120" w:type="dxa"/>
            </w:tcMar>
            <w:shd w:val="clear" w:color="auto" w:fill="F9FAFC"/>
          </w:tcPr>
          <w:p>
            <w:r>
              <w:rPr>
                <w:sz w:val="18"/>
              </w:rPr>
              <w:t>Monotonic severity accumulation, noise filtering, incremental vs bulk score equivalence</w:t>
            </w:r>
          </w:p>
        </w:tc>
        <w:tc>
          <w:tcPr>
            <w:tcW w:type="dxa" w:w="3120"/>
            <w:tcMar>
              <w:top w:w="80" w:type="dxa"/>
              <w:bottom w:w="80" w:type="dxa"/>
              <w:left w:w="120" w:type="dxa"/>
              <w:right w:w="120" w:type="dxa"/>
            </w:tcMar>
            <w:shd w:val="clear" w:color="auto" w:fill="F9FAFC"/>
          </w:tcPr>
          <w:p>
            <w:r>
              <w:rPr>
                <w:sz w:val="18"/>
              </w:rPr>
              <w:t>9 passed</w:t>
            </w:r>
          </w:p>
        </w:tc>
      </w:tr>
      <w:tr>
        <w:tc>
          <w:tcPr>
            <w:tcW w:type="dxa" w:w="3120"/>
            <w:tcMar>
              <w:top w:w="80" w:type="dxa"/>
              <w:bottom w:w="80" w:type="dxa"/>
              <w:left w:w="120" w:type="dxa"/>
              <w:right w:w="120" w:type="dxa"/>
            </w:tcMar>
          </w:tcPr>
          <w:p>
            <w:r>
              <w:rPr>
                <w:sz w:val="18"/>
              </w:rPr>
              <w:t>core-api/tests/test_evaluation_benchmark.py</w:t>
            </w:r>
          </w:p>
        </w:tc>
        <w:tc>
          <w:tcPr>
            <w:tcW w:type="dxa" w:w="3120"/>
            <w:tcMar>
              <w:top w:w="80" w:type="dxa"/>
              <w:bottom w:w="80" w:type="dxa"/>
              <w:left w:w="120" w:type="dxa"/>
              <w:right w:w="120" w:type="dxa"/>
            </w:tcMar>
          </w:tcPr>
          <w:p>
            <w:r>
              <w:rPr>
                <w:sz w:val="18"/>
              </w:rPr>
              <w:t>Benchmark schema validation, representative attack sequence mapping, NAT isolation</w:t>
            </w:r>
          </w:p>
        </w:tc>
        <w:tc>
          <w:tcPr>
            <w:tcW w:type="dxa" w:w="3120"/>
            <w:tcMar>
              <w:top w:w="80" w:type="dxa"/>
              <w:bottom w:w="80" w:type="dxa"/>
              <w:left w:w="120" w:type="dxa"/>
              <w:right w:w="120" w:type="dxa"/>
            </w:tcMar>
          </w:tcPr>
          <w:p>
            <w:r>
              <w:rPr>
                <w:sz w:val="18"/>
              </w:rPr>
              <w:t>2 passed</w:t>
            </w:r>
          </w:p>
        </w:tc>
      </w:tr>
      <w:tr>
        <w:tc>
          <w:tcPr>
            <w:tcW w:type="dxa" w:w="3120"/>
            <w:tcMar>
              <w:top w:w="80" w:type="dxa"/>
              <w:bottom w:w="80" w:type="dxa"/>
              <w:left w:w="120" w:type="dxa"/>
              <w:right w:w="120" w:type="dxa"/>
            </w:tcMar>
            <w:shd w:val="clear" w:color="auto" w:fill="E8EEF5"/>
          </w:tcPr>
          <w:p>
            <w:r>
              <w:rPr>
                <w:b/>
                <w:sz w:val="18"/>
              </w:rPr>
              <w:t>Total Verification Suite</w:t>
            </w:r>
          </w:p>
        </w:tc>
        <w:tc>
          <w:tcPr>
            <w:tcW w:type="dxa" w:w="3120"/>
            <w:tcMar>
              <w:top w:w="80" w:type="dxa"/>
              <w:bottom w:w="80" w:type="dxa"/>
              <w:left w:w="120" w:type="dxa"/>
              <w:right w:w="120" w:type="dxa"/>
            </w:tcMar>
            <w:shd w:val="clear" w:color="auto" w:fill="E8EEF5"/>
          </w:tcPr>
          <w:p>
            <w:r>
              <w:rPr>
                <w:b/>
                <w:sz w:val="18"/>
              </w:rPr>
              <w:t>Comprehensive verification across all core-api platform subsystems</w:t>
            </w:r>
          </w:p>
        </w:tc>
        <w:tc>
          <w:tcPr>
            <w:tcW w:type="dxa" w:w="3120"/>
            <w:tcMar>
              <w:top w:w="80" w:type="dxa"/>
              <w:bottom w:w="80" w:type="dxa"/>
              <w:left w:w="120" w:type="dxa"/>
              <w:right w:w="120" w:type="dxa"/>
            </w:tcMar>
            <w:shd w:val="clear" w:color="auto" w:fill="E8EEF5"/>
          </w:tcPr>
          <w:p>
            <w:r>
              <w:rPr>
                <w:b/>
                <w:sz w:val="18"/>
              </w:rPr>
              <w:t>84 passed (100%)</w:t>
            </w:r>
          </w:p>
        </w:tc>
      </w:tr>
    </w:tbl>
    <w:p>
      <w:pPr>
        <w:spacing w:after="160"/>
      </w:pPr>
    </w:p>
    <w:p>
      <w:pPr>
        <w:spacing w:before="200" w:after="60"/>
      </w:pPr>
      <w:r>
        <w:rPr>
          <w:b/>
          <w:color w:val="2E5B88"/>
          <w:sz w:val="23"/>
        </w:rPr>
        <w:t>6.2 Illustrative Case Study: Live Docker Network Harness Execution</w:t>
      </w:r>
    </w:p>
    <w:p>
      <w:r>
        <w:t>Provenance: The case study results presented herein were produced via a REAL_RUN execution of the automated multi-stage attack harness (attacker/scripts/full-attack.sh) inside the running Docker Compose environment. Real network traffic was transmitted from the attacker container (172.21.0.5) across honeypot_net to the attack-target container (port 9090). Interaction logs were written to a shared volume, tailed in real time by log-forwarder-target, shipped over HTTP across the deceptionnet bridge network to core-api (port 8000), and committed into PostgreSQL. The complete database export is committed under results/case_study_raw.json and results/case_study.db.</w:t>
      </w:r>
    </w:p>
    <w:p>
      <w:r>
        <w:t>Session Binding &amp; Campaign Mechanics: During Stage 1 (SQL injection login bypass), curl stores the signed Flask session cookie (session['sid']) using a cookie jar (-c $COOKIE_JAR). Subsequent post-exploitation requests in Stages 3 through 6 present this cookie (-b $COOKIE_JAR), allowing attack-target/app.py:current_sid to bind all 9 authenticated requests to the single session ID 'web-172.21.0.5-364304df'. In contrast, the 5 credential stuffing attempts in Stage 2 carry no session cookie; each unauthenticated request is assigned a distinct random session ID. The complete live execution produced exactly 14 ingested events across 6 distinct sessions. The 5 credential stuffing sessions were scored at severity 0.5 each (Low tier). The primary campaign session accumulated a final severity score of 26.0 (Critical tier) across 9 stages, summarized in Table II.</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B365D"/>
          </w:tcPr>
          <w:p>
            <w:r>
              <w:rPr>
                <w:b/>
                <w:color w:val="FFFFFF"/>
                <w:sz w:val="18"/>
              </w:rPr>
              <w:t>Step</w:t>
            </w:r>
          </w:p>
        </w:tc>
        <w:tc>
          <w:tcPr>
            <w:tcW w:type="dxa" w:w="1337"/>
            <w:shd w:val="clear" w:color="auto" w:fill="1B365D"/>
          </w:tcPr>
          <w:p>
            <w:r>
              <w:rPr>
                <w:b/>
                <w:color w:val="FFFFFF"/>
                <w:sz w:val="18"/>
              </w:rPr>
              <w:t>Stage</w:t>
            </w:r>
          </w:p>
        </w:tc>
        <w:tc>
          <w:tcPr>
            <w:tcW w:type="dxa" w:w="1337"/>
            <w:shd w:val="clear" w:color="auto" w:fill="1B365D"/>
          </w:tcPr>
          <w:p>
            <w:r>
              <w:rPr>
                <w:b/>
                <w:color w:val="FFFFFF"/>
                <w:sz w:val="18"/>
              </w:rPr>
              <w:t>Payload / Action</w:t>
            </w:r>
          </w:p>
        </w:tc>
        <w:tc>
          <w:tcPr>
            <w:tcW w:type="dxa" w:w="1337"/>
            <w:shd w:val="clear" w:color="auto" w:fill="1B365D"/>
          </w:tcPr>
          <w:p>
            <w:r>
              <w:rPr>
                <w:b/>
                <w:color w:val="FFFFFF"/>
                <w:sz w:val="18"/>
              </w:rPr>
              <w:t>Event</w:t>
            </w:r>
          </w:p>
        </w:tc>
        <w:tc>
          <w:tcPr>
            <w:tcW w:type="dxa" w:w="1337"/>
            <w:shd w:val="clear" w:color="auto" w:fill="1B365D"/>
          </w:tcPr>
          <w:p>
            <w:r>
              <w:rPr>
                <w:b/>
                <w:color w:val="FFFFFF"/>
                <w:sz w:val="18"/>
              </w:rPr>
              <w:t>ATT&amp;CK Technique</w:t>
            </w:r>
          </w:p>
        </w:tc>
        <w:tc>
          <w:tcPr>
            <w:tcW w:type="dxa" w:w="1337"/>
            <w:shd w:val="clear" w:color="auto" w:fill="1B365D"/>
          </w:tcPr>
          <w:p>
            <w:r>
              <w:rPr>
                <w:b/>
                <w:color w:val="FFFFFF"/>
                <w:sz w:val="18"/>
              </w:rPr>
              <w:t>Weight</w:t>
            </w:r>
          </w:p>
        </w:tc>
        <w:tc>
          <w:tcPr>
            <w:tcW w:type="dxa" w:w="1337"/>
            <w:shd w:val="clear" w:color="auto" w:fill="1B365D"/>
          </w:tcPr>
          <w:p>
            <w:r>
              <w:rPr>
                <w:b/>
                <w:color w:val="FFFFFF"/>
                <w:sz w:val="18"/>
              </w:rPr>
              <w:t>Score</w:t>
            </w:r>
          </w:p>
        </w:tc>
      </w:tr>
      <w:tr>
        <w:tc>
          <w:tcPr>
            <w:tcW w:type="dxa" w:w="1337"/>
            <w:tcMar>
              <w:top w:w="70" w:type="dxa"/>
              <w:bottom w:w="70" w:type="dxa"/>
              <w:left w:w="100" w:type="dxa"/>
              <w:right w:w="100" w:type="dxa"/>
            </w:tcMar>
            <w:shd w:val="clear" w:color="auto" w:fill="F9FAFC"/>
          </w:tcPr>
          <w:p>
            <w:r>
              <w:rPr>
                <w:sz w:val="17"/>
              </w:rPr>
              <w:t>1</w:t>
            </w:r>
          </w:p>
        </w:tc>
        <w:tc>
          <w:tcPr>
            <w:tcW w:type="dxa" w:w="1337"/>
            <w:tcMar>
              <w:top w:w="70" w:type="dxa"/>
              <w:bottom w:w="70" w:type="dxa"/>
              <w:left w:w="100" w:type="dxa"/>
              <w:right w:w="100" w:type="dxa"/>
            </w:tcMar>
            <w:shd w:val="clear" w:color="auto" w:fill="F9FAFC"/>
          </w:tcPr>
          <w:p>
            <w:r>
              <w:rPr>
                <w:sz w:val="17"/>
              </w:rPr>
              <w:t>1. SQLi Login Bypass</w:t>
            </w:r>
          </w:p>
        </w:tc>
        <w:tc>
          <w:tcPr>
            <w:tcW w:type="dxa" w:w="1337"/>
            <w:tcMar>
              <w:top w:w="70" w:type="dxa"/>
              <w:bottom w:w="70" w:type="dxa"/>
              <w:left w:w="100" w:type="dxa"/>
              <w:right w:w="100" w:type="dxa"/>
            </w:tcMar>
            <w:shd w:val="clear" w:color="auto" w:fill="F9FAFC"/>
          </w:tcPr>
          <w:p>
            <w:r>
              <w:rPr>
                <w:sz w:val="17"/>
              </w:rPr>
              <w:t>admin'-- on /login</w:t>
            </w:r>
          </w:p>
        </w:tc>
        <w:tc>
          <w:tcPr>
            <w:tcW w:type="dxa" w:w="1337"/>
            <w:tcMar>
              <w:top w:w="70" w:type="dxa"/>
              <w:bottom w:w="70" w:type="dxa"/>
              <w:left w:w="100" w:type="dxa"/>
              <w:right w:w="100" w:type="dxa"/>
            </w:tcMar>
            <w:shd w:val="clear" w:color="auto" w:fill="F9FAFC"/>
          </w:tcPr>
          <w:p>
            <w:r>
              <w:rPr>
                <w:sz w:val="17"/>
              </w:rPr>
              <w:t>sqli</w:t>
            </w:r>
          </w:p>
        </w:tc>
        <w:tc>
          <w:tcPr>
            <w:tcW w:type="dxa" w:w="1337"/>
            <w:tcMar>
              <w:top w:w="70" w:type="dxa"/>
              <w:bottom w:w="70" w:type="dxa"/>
              <w:left w:w="100" w:type="dxa"/>
              <w:right w:w="100" w:type="dxa"/>
            </w:tcMar>
            <w:shd w:val="clear" w:color="auto" w:fill="F9FAFC"/>
          </w:tcPr>
          <w:p>
            <w:r>
              <w:rPr>
                <w:sz w:val="17"/>
              </w:rPr>
              <w:t>T1190 Exploit Public-Facing App</w:t>
            </w:r>
          </w:p>
        </w:tc>
        <w:tc>
          <w:tcPr>
            <w:tcW w:type="dxa" w:w="1337"/>
            <w:tcMar>
              <w:top w:w="70" w:type="dxa"/>
              <w:bottom w:w="70" w:type="dxa"/>
              <w:left w:w="100" w:type="dxa"/>
              <w:right w:w="100" w:type="dxa"/>
            </w:tcMar>
            <w:shd w:val="clear" w:color="auto" w:fill="F9FAFC"/>
          </w:tcPr>
          <w:p>
            <w:r>
              <w:rPr>
                <w:sz w:val="17"/>
              </w:rPr>
              <w:t>4.0</w:t>
            </w:r>
          </w:p>
        </w:tc>
        <w:tc>
          <w:tcPr>
            <w:tcW w:type="dxa" w:w="1337"/>
            <w:tcMar>
              <w:top w:w="70" w:type="dxa"/>
              <w:bottom w:w="70" w:type="dxa"/>
              <w:left w:w="100" w:type="dxa"/>
              <w:right w:w="100" w:type="dxa"/>
            </w:tcMar>
            <w:shd w:val="clear" w:color="auto" w:fill="F9FAFC"/>
          </w:tcPr>
          <w:p>
            <w:r>
              <w:rPr>
                <w:sz w:val="17"/>
              </w:rPr>
              <w:t>4.0</w:t>
            </w:r>
          </w:p>
        </w:tc>
      </w:tr>
      <w:tr>
        <w:tc>
          <w:tcPr>
            <w:tcW w:type="dxa" w:w="1337"/>
            <w:tcMar>
              <w:top w:w="70" w:type="dxa"/>
              <w:bottom w:w="70" w:type="dxa"/>
              <w:left w:w="100" w:type="dxa"/>
              <w:right w:w="100" w:type="dxa"/>
            </w:tcMar>
          </w:tcPr>
          <w:p>
            <w:r>
              <w:rPr>
                <w:sz w:val="17"/>
              </w:rPr>
              <w:t>2</w:t>
            </w:r>
          </w:p>
        </w:tc>
        <w:tc>
          <w:tcPr>
            <w:tcW w:type="dxa" w:w="1337"/>
            <w:tcMar>
              <w:top w:w="70" w:type="dxa"/>
              <w:bottom w:w="70" w:type="dxa"/>
              <w:left w:w="100" w:type="dxa"/>
              <w:right w:w="100" w:type="dxa"/>
            </w:tcMar>
          </w:tcPr>
          <w:p>
            <w:r>
              <w:rPr>
                <w:sz w:val="17"/>
              </w:rPr>
              <w:t>3. Command Injection</w:t>
            </w:r>
          </w:p>
        </w:tc>
        <w:tc>
          <w:tcPr>
            <w:tcW w:type="dxa" w:w="1337"/>
            <w:tcMar>
              <w:top w:w="70" w:type="dxa"/>
              <w:bottom w:w="70" w:type="dxa"/>
              <w:left w:w="100" w:type="dxa"/>
              <w:right w:w="100" w:type="dxa"/>
            </w:tcMar>
          </w:tcPr>
          <w:p>
            <w:r>
              <w:rPr>
                <w:sz w:val="17"/>
              </w:rPr>
              <w:t>ping -c 1 127.0.0.1; whoami</w:t>
            </w:r>
          </w:p>
        </w:tc>
        <w:tc>
          <w:tcPr>
            <w:tcW w:type="dxa" w:w="1337"/>
            <w:tcMar>
              <w:top w:w="70" w:type="dxa"/>
              <w:bottom w:w="70" w:type="dxa"/>
              <w:left w:w="100" w:type="dxa"/>
              <w:right w:w="100" w:type="dxa"/>
            </w:tcMar>
          </w:tcPr>
          <w:p>
            <w:r>
              <w:rPr>
                <w:sz w:val="17"/>
              </w:rPr>
              <w:t>command</w:t>
            </w:r>
          </w:p>
        </w:tc>
        <w:tc>
          <w:tcPr>
            <w:tcW w:type="dxa" w:w="1337"/>
            <w:tcMar>
              <w:top w:w="70" w:type="dxa"/>
              <w:bottom w:w="70" w:type="dxa"/>
              <w:left w:w="100" w:type="dxa"/>
              <w:right w:w="100" w:type="dxa"/>
            </w:tcMar>
          </w:tcPr>
          <w:p>
            <w:r>
              <w:rPr>
                <w:sz w:val="17"/>
              </w:rPr>
              <w:t>T1033 System Owner/User Discovery</w:t>
            </w:r>
          </w:p>
        </w:tc>
        <w:tc>
          <w:tcPr>
            <w:tcW w:type="dxa" w:w="1337"/>
            <w:tcMar>
              <w:top w:w="70" w:type="dxa"/>
              <w:bottom w:w="70" w:type="dxa"/>
              <w:left w:w="100" w:type="dxa"/>
              <w:right w:w="100" w:type="dxa"/>
            </w:tcMar>
          </w:tcPr>
          <w:p>
            <w:r>
              <w:rPr>
                <w:sz w:val="17"/>
              </w:rPr>
              <w:t>1.0</w:t>
            </w:r>
          </w:p>
        </w:tc>
        <w:tc>
          <w:tcPr>
            <w:tcW w:type="dxa" w:w="1337"/>
            <w:tcMar>
              <w:top w:w="70" w:type="dxa"/>
              <w:bottom w:w="70" w:type="dxa"/>
              <w:left w:w="100" w:type="dxa"/>
              <w:right w:w="100" w:type="dxa"/>
            </w:tcMar>
          </w:tcPr>
          <w:p>
            <w:r>
              <w:rPr>
                <w:sz w:val="17"/>
              </w:rPr>
              <w:t>5.0</w:t>
            </w:r>
          </w:p>
        </w:tc>
      </w:tr>
      <w:tr>
        <w:tc>
          <w:tcPr>
            <w:tcW w:type="dxa" w:w="1337"/>
            <w:tcMar>
              <w:top w:w="70" w:type="dxa"/>
              <w:bottom w:w="70" w:type="dxa"/>
              <w:left w:w="100" w:type="dxa"/>
              <w:right w:w="100" w:type="dxa"/>
            </w:tcMar>
            <w:shd w:val="clear" w:color="auto" w:fill="F9FAFC"/>
          </w:tcPr>
          <w:p>
            <w:r>
              <w:rPr>
                <w:sz w:val="17"/>
              </w:rPr>
              <w:t>3</w:t>
            </w:r>
          </w:p>
        </w:tc>
        <w:tc>
          <w:tcPr>
            <w:tcW w:type="dxa" w:w="1337"/>
            <w:tcMar>
              <w:top w:w="70" w:type="dxa"/>
              <w:bottom w:w="70" w:type="dxa"/>
              <w:left w:w="100" w:type="dxa"/>
              <w:right w:w="100" w:type="dxa"/>
            </w:tcMar>
            <w:shd w:val="clear" w:color="auto" w:fill="F9FAFC"/>
          </w:tcPr>
          <w:p>
            <w:r>
              <w:rPr>
                <w:sz w:val="17"/>
              </w:rPr>
              <w:t>3. Command Injection</w:t>
            </w:r>
          </w:p>
        </w:tc>
        <w:tc>
          <w:tcPr>
            <w:tcW w:type="dxa" w:w="1337"/>
            <w:tcMar>
              <w:top w:w="70" w:type="dxa"/>
              <w:bottom w:w="70" w:type="dxa"/>
              <w:left w:w="100" w:type="dxa"/>
              <w:right w:w="100" w:type="dxa"/>
            </w:tcMar>
            <w:shd w:val="clear" w:color="auto" w:fill="F9FAFC"/>
          </w:tcPr>
          <w:p>
            <w:r>
              <w:rPr>
                <w:sz w:val="17"/>
              </w:rPr>
              <w:t>ping -c 1 127.0.0.1; uname -a</w:t>
            </w:r>
          </w:p>
        </w:tc>
        <w:tc>
          <w:tcPr>
            <w:tcW w:type="dxa" w:w="1337"/>
            <w:tcMar>
              <w:top w:w="70" w:type="dxa"/>
              <w:bottom w:w="70" w:type="dxa"/>
              <w:left w:w="100" w:type="dxa"/>
              <w:right w:w="100" w:type="dxa"/>
            </w:tcMar>
            <w:shd w:val="clear" w:color="auto" w:fill="F9FAFC"/>
          </w:tcPr>
          <w:p>
            <w:r>
              <w:rPr>
                <w:sz w:val="17"/>
              </w:rPr>
              <w:t>command</w:t>
            </w:r>
          </w:p>
        </w:tc>
        <w:tc>
          <w:tcPr>
            <w:tcW w:type="dxa" w:w="1337"/>
            <w:tcMar>
              <w:top w:w="70" w:type="dxa"/>
              <w:bottom w:w="70" w:type="dxa"/>
              <w:left w:w="100" w:type="dxa"/>
              <w:right w:w="100" w:type="dxa"/>
            </w:tcMar>
            <w:shd w:val="clear" w:color="auto" w:fill="F9FAFC"/>
          </w:tcPr>
          <w:p>
            <w:r>
              <w:rPr>
                <w:sz w:val="17"/>
              </w:rPr>
              <w:t>T1082 System Information Discovery</w:t>
            </w:r>
          </w:p>
        </w:tc>
        <w:tc>
          <w:tcPr>
            <w:tcW w:type="dxa" w:w="1337"/>
            <w:tcMar>
              <w:top w:w="70" w:type="dxa"/>
              <w:bottom w:w="70" w:type="dxa"/>
              <w:left w:w="100" w:type="dxa"/>
              <w:right w:w="100" w:type="dxa"/>
            </w:tcMar>
            <w:shd w:val="clear" w:color="auto" w:fill="F9FAFC"/>
          </w:tcPr>
          <w:p>
            <w:r>
              <w:rPr>
                <w:sz w:val="17"/>
              </w:rPr>
              <w:t>1.0</w:t>
            </w:r>
          </w:p>
        </w:tc>
        <w:tc>
          <w:tcPr>
            <w:tcW w:type="dxa" w:w="1337"/>
            <w:tcMar>
              <w:top w:w="70" w:type="dxa"/>
              <w:bottom w:w="70" w:type="dxa"/>
              <w:left w:w="100" w:type="dxa"/>
              <w:right w:w="100" w:type="dxa"/>
            </w:tcMar>
            <w:shd w:val="clear" w:color="auto" w:fill="F9FAFC"/>
          </w:tcPr>
          <w:p>
            <w:r>
              <w:rPr>
                <w:sz w:val="17"/>
              </w:rPr>
              <w:t>6.0</w:t>
            </w:r>
          </w:p>
        </w:tc>
      </w:tr>
      <w:tr>
        <w:tc>
          <w:tcPr>
            <w:tcW w:type="dxa" w:w="1337"/>
            <w:tcMar>
              <w:top w:w="70" w:type="dxa"/>
              <w:bottom w:w="70" w:type="dxa"/>
              <w:left w:w="100" w:type="dxa"/>
              <w:right w:w="100" w:type="dxa"/>
            </w:tcMar>
          </w:tcPr>
          <w:p>
            <w:r>
              <w:rPr>
                <w:sz w:val="17"/>
              </w:rPr>
              <w:t>4</w:t>
            </w:r>
          </w:p>
        </w:tc>
        <w:tc>
          <w:tcPr>
            <w:tcW w:type="dxa" w:w="1337"/>
            <w:tcMar>
              <w:top w:w="70" w:type="dxa"/>
              <w:bottom w:w="70" w:type="dxa"/>
              <w:left w:w="100" w:type="dxa"/>
              <w:right w:w="100" w:type="dxa"/>
            </w:tcMar>
          </w:tcPr>
          <w:p>
            <w:r>
              <w:rPr>
                <w:sz w:val="17"/>
              </w:rPr>
              <w:t>3. Command Injection</w:t>
            </w:r>
          </w:p>
        </w:tc>
        <w:tc>
          <w:tcPr>
            <w:tcW w:type="dxa" w:w="1337"/>
            <w:tcMar>
              <w:top w:w="70" w:type="dxa"/>
              <w:bottom w:w="70" w:type="dxa"/>
              <w:left w:w="100" w:type="dxa"/>
              <w:right w:w="100" w:type="dxa"/>
            </w:tcMar>
          </w:tcPr>
          <w:p>
            <w:r>
              <w:rPr>
                <w:sz w:val="17"/>
              </w:rPr>
              <w:t>ping -c 1 127.0.0.1; cat /etc/passwd</w:t>
            </w:r>
          </w:p>
        </w:tc>
        <w:tc>
          <w:tcPr>
            <w:tcW w:type="dxa" w:w="1337"/>
            <w:tcMar>
              <w:top w:w="70" w:type="dxa"/>
              <w:bottom w:w="70" w:type="dxa"/>
              <w:left w:w="100" w:type="dxa"/>
              <w:right w:w="100" w:type="dxa"/>
            </w:tcMar>
          </w:tcPr>
          <w:p>
            <w:r>
              <w:rPr>
                <w:sz w:val="17"/>
              </w:rPr>
              <w:t>command</w:t>
            </w:r>
          </w:p>
        </w:tc>
        <w:tc>
          <w:tcPr>
            <w:tcW w:type="dxa" w:w="1337"/>
            <w:tcMar>
              <w:top w:w="70" w:type="dxa"/>
              <w:bottom w:w="70" w:type="dxa"/>
              <w:left w:w="100" w:type="dxa"/>
              <w:right w:w="100" w:type="dxa"/>
            </w:tcMar>
          </w:tcPr>
          <w:p>
            <w:r>
              <w:rPr>
                <w:sz w:val="17"/>
              </w:rPr>
              <w:t>T1003.008 OS Credential Dumping</w:t>
            </w:r>
          </w:p>
        </w:tc>
        <w:tc>
          <w:tcPr>
            <w:tcW w:type="dxa" w:w="1337"/>
            <w:tcMar>
              <w:top w:w="70" w:type="dxa"/>
              <w:bottom w:w="70" w:type="dxa"/>
              <w:left w:w="100" w:type="dxa"/>
              <w:right w:w="100" w:type="dxa"/>
            </w:tcMar>
          </w:tcPr>
          <w:p>
            <w:r>
              <w:rPr>
                <w:sz w:val="17"/>
              </w:rPr>
              <w:t>5.0</w:t>
            </w:r>
          </w:p>
        </w:tc>
        <w:tc>
          <w:tcPr>
            <w:tcW w:type="dxa" w:w="1337"/>
            <w:tcMar>
              <w:top w:w="70" w:type="dxa"/>
              <w:bottom w:w="70" w:type="dxa"/>
              <w:left w:w="100" w:type="dxa"/>
              <w:right w:w="100" w:type="dxa"/>
            </w:tcMar>
          </w:tcPr>
          <w:p>
            <w:r>
              <w:rPr>
                <w:sz w:val="17"/>
              </w:rPr>
              <w:t>11.0</w:t>
            </w:r>
          </w:p>
        </w:tc>
      </w:tr>
      <w:tr>
        <w:tc>
          <w:tcPr>
            <w:tcW w:type="dxa" w:w="1337"/>
            <w:tcMar>
              <w:top w:w="70" w:type="dxa"/>
              <w:bottom w:w="70" w:type="dxa"/>
              <w:left w:w="100" w:type="dxa"/>
              <w:right w:w="100" w:type="dxa"/>
            </w:tcMar>
            <w:shd w:val="clear" w:color="auto" w:fill="F9FAFC"/>
          </w:tcPr>
          <w:p>
            <w:r>
              <w:rPr>
                <w:sz w:val="17"/>
              </w:rPr>
              <w:t>5</w:t>
            </w:r>
          </w:p>
        </w:tc>
        <w:tc>
          <w:tcPr>
            <w:tcW w:type="dxa" w:w="1337"/>
            <w:tcMar>
              <w:top w:w="70" w:type="dxa"/>
              <w:bottom w:w="70" w:type="dxa"/>
              <w:left w:w="100" w:type="dxa"/>
              <w:right w:w="100" w:type="dxa"/>
            </w:tcMar>
            <w:shd w:val="clear" w:color="auto" w:fill="F9FAFC"/>
          </w:tcPr>
          <w:p>
            <w:r>
              <w:rPr>
                <w:sz w:val="17"/>
              </w:rPr>
              <w:t>3. Command Injection</w:t>
            </w:r>
          </w:p>
        </w:tc>
        <w:tc>
          <w:tcPr>
            <w:tcW w:type="dxa" w:w="1337"/>
            <w:tcMar>
              <w:top w:w="70" w:type="dxa"/>
              <w:bottom w:w="70" w:type="dxa"/>
              <w:left w:w="100" w:type="dxa"/>
              <w:right w:w="100" w:type="dxa"/>
            </w:tcMar>
            <w:shd w:val="clear" w:color="auto" w:fill="F9FAFC"/>
          </w:tcPr>
          <w:p>
            <w:r>
              <w:rPr>
                <w:sz w:val="17"/>
              </w:rPr>
              <w:t>ping ...; wget http://evil.example/malware.sh</w:t>
            </w:r>
          </w:p>
        </w:tc>
        <w:tc>
          <w:tcPr>
            <w:tcW w:type="dxa" w:w="1337"/>
            <w:tcMar>
              <w:top w:w="70" w:type="dxa"/>
              <w:bottom w:w="70" w:type="dxa"/>
              <w:left w:w="100" w:type="dxa"/>
              <w:right w:w="100" w:type="dxa"/>
            </w:tcMar>
            <w:shd w:val="clear" w:color="auto" w:fill="F9FAFC"/>
          </w:tcPr>
          <w:p>
            <w:r>
              <w:rPr>
                <w:sz w:val="17"/>
              </w:rPr>
              <w:t>command</w:t>
            </w:r>
          </w:p>
        </w:tc>
        <w:tc>
          <w:tcPr>
            <w:tcW w:type="dxa" w:w="1337"/>
            <w:tcMar>
              <w:top w:w="70" w:type="dxa"/>
              <w:bottom w:w="70" w:type="dxa"/>
              <w:left w:w="100" w:type="dxa"/>
              <w:right w:w="100" w:type="dxa"/>
            </w:tcMar>
            <w:shd w:val="clear" w:color="auto" w:fill="F9FAFC"/>
          </w:tcPr>
          <w:p>
            <w:r>
              <w:rPr>
                <w:sz w:val="17"/>
              </w:rPr>
              <w:t>T1105 Ingress Tool Transfer</w:t>
            </w:r>
          </w:p>
        </w:tc>
        <w:tc>
          <w:tcPr>
            <w:tcW w:type="dxa" w:w="1337"/>
            <w:tcMar>
              <w:top w:w="70" w:type="dxa"/>
              <w:bottom w:w="70" w:type="dxa"/>
              <w:left w:w="100" w:type="dxa"/>
              <w:right w:w="100" w:type="dxa"/>
            </w:tcMar>
            <w:shd w:val="clear" w:color="auto" w:fill="F9FAFC"/>
          </w:tcPr>
          <w:p>
            <w:r>
              <w:rPr>
                <w:sz w:val="17"/>
              </w:rPr>
              <w:t>3.0</w:t>
            </w:r>
          </w:p>
        </w:tc>
        <w:tc>
          <w:tcPr>
            <w:tcW w:type="dxa" w:w="1337"/>
            <w:tcMar>
              <w:top w:w="70" w:type="dxa"/>
              <w:bottom w:w="70" w:type="dxa"/>
              <w:left w:w="100" w:type="dxa"/>
              <w:right w:w="100" w:type="dxa"/>
            </w:tcMar>
            <w:shd w:val="clear" w:color="auto" w:fill="F9FAFC"/>
          </w:tcPr>
          <w:p>
            <w:r>
              <w:rPr>
                <w:sz w:val="17"/>
              </w:rPr>
              <w:t>14.0</w:t>
            </w:r>
          </w:p>
        </w:tc>
      </w:tr>
      <w:tr>
        <w:tc>
          <w:tcPr>
            <w:tcW w:type="dxa" w:w="1337"/>
            <w:tcMar>
              <w:top w:w="70" w:type="dxa"/>
              <w:bottom w:w="70" w:type="dxa"/>
              <w:left w:w="100" w:type="dxa"/>
              <w:right w:w="100" w:type="dxa"/>
            </w:tcMar>
          </w:tcPr>
          <w:p>
            <w:r>
              <w:rPr>
                <w:sz w:val="17"/>
              </w:rPr>
              <w:t>6</w:t>
            </w:r>
          </w:p>
        </w:tc>
        <w:tc>
          <w:tcPr>
            <w:tcW w:type="dxa" w:w="1337"/>
            <w:tcMar>
              <w:top w:w="70" w:type="dxa"/>
              <w:bottom w:w="70" w:type="dxa"/>
              <w:left w:w="100" w:type="dxa"/>
              <w:right w:w="100" w:type="dxa"/>
            </w:tcMar>
          </w:tcPr>
          <w:p>
            <w:r>
              <w:rPr>
                <w:sz w:val="17"/>
              </w:rPr>
              <w:t>4. Path Traversal</w:t>
            </w:r>
          </w:p>
        </w:tc>
        <w:tc>
          <w:tcPr>
            <w:tcW w:type="dxa" w:w="1337"/>
            <w:tcMar>
              <w:top w:w="70" w:type="dxa"/>
              <w:bottom w:w="70" w:type="dxa"/>
              <w:left w:w="100" w:type="dxa"/>
              <w:right w:w="100" w:type="dxa"/>
            </w:tcMar>
          </w:tcPr>
          <w:p>
            <w:r>
              <w:rPr>
                <w:sz w:val="17"/>
              </w:rPr>
              <w:t>cat /etc/passwd via /read</w:t>
            </w:r>
          </w:p>
        </w:tc>
        <w:tc>
          <w:tcPr>
            <w:tcW w:type="dxa" w:w="1337"/>
            <w:tcMar>
              <w:top w:w="70" w:type="dxa"/>
              <w:bottom w:w="70" w:type="dxa"/>
              <w:left w:w="100" w:type="dxa"/>
              <w:right w:w="100" w:type="dxa"/>
            </w:tcMar>
          </w:tcPr>
          <w:p>
            <w:r>
              <w:rPr>
                <w:sz w:val="17"/>
              </w:rPr>
              <w:t>command</w:t>
            </w:r>
          </w:p>
        </w:tc>
        <w:tc>
          <w:tcPr>
            <w:tcW w:type="dxa" w:w="1337"/>
            <w:tcMar>
              <w:top w:w="70" w:type="dxa"/>
              <w:bottom w:w="70" w:type="dxa"/>
              <w:left w:w="100" w:type="dxa"/>
              <w:right w:w="100" w:type="dxa"/>
            </w:tcMar>
          </w:tcPr>
          <w:p>
            <w:r>
              <w:rPr>
                <w:sz w:val="17"/>
              </w:rPr>
              <w:t>T1003.008 OS Credential Dumping</w:t>
            </w:r>
          </w:p>
        </w:tc>
        <w:tc>
          <w:tcPr>
            <w:tcW w:type="dxa" w:w="1337"/>
            <w:tcMar>
              <w:top w:w="70" w:type="dxa"/>
              <w:bottom w:w="70" w:type="dxa"/>
              <w:left w:w="100" w:type="dxa"/>
              <w:right w:w="100" w:type="dxa"/>
            </w:tcMar>
          </w:tcPr>
          <w:p>
            <w:r>
              <w:rPr>
                <w:sz w:val="17"/>
              </w:rPr>
              <w:t>5.0</w:t>
            </w:r>
          </w:p>
        </w:tc>
        <w:tc>
          <w:tcPr>
            <w:tcW w:type="dxa" w:w="1337"/>
            <w:tcMar>
              <w:top w:w="70" w:type="dxa"/>
              <w:bottom w:w="70" w:type="dxa"/>
              <w:left w:w="100" w:type="dxa"/>
              <w:right w:w="100" w:type="dxa"/>
            </w:tcMar>
          </w:tcPr>
          <w:p>
            <w:r>
              <w:rPr>
                <w:sz w:val="17"/>
              </w:rPr>
              <w:t>19.0</w:t>
            </w:r>
          </w:p>
        </w:tc>
      </w:tr>
      <w:tr>
        <w:tc>
          <w:tcPr>
            <w:tcW w:type="dxa" w:w="1337"/>
            <w:tcMar>
              <w:top w:w="70" w:type="dxa"/>
              <w:bottom w:w="70" w:type="dxa"/>
              <w:left w:w="100" w:type="dxa"/>
              <w:right w:w="100" w:type="dxa"/>
            </w:tcMar>
            <w:shd w:val="clear" w:color="auto" w:fill="F9FAFC"/>
          </w:tcPr>
          <w:p>
            <w:r>
              <w:rPr>
                <w:sz w:val="17"/>
              </w:rPr>
              <w:t>7</w:t>
            </w:r>
          </w:p>
        </w:tc>
        <w:tc>
          <w:tcPr>
            <w:tcW w:type="dxa" w:w="1337"/>
            <w:tcMar>
              <w:top w:w="70" w:type="dxa"/>
              <w:bottom w:w="70" w:type="dxa"/>
              <w:left w:w="100" w:type="dxa"/>
              <w:right w:w="100" w:type="dxa"/>
            </w:tcMar>
            <w:shd w:val="clear" w:color="auto" w:fill="F9FAFC"/>
          </w:tcPr>
          <w:p>
            <w:r>
              <w:rPr>
                <w:sz w:val="17"/>
              </w:rPr>
              <w:t>4. Path Traversal</w:t>
            </w:r>
          </w:p>
        </w:tc>
        <w:tc>
          <w:tcPr>
            <w:tcW w:type="dxa" w:w="1337"/>
            <w:tcMar>
              <w:top w:w="70" w:type="dxa"/>
              <w:bottom w:w="70" w:type="dxa"/>
              <w:left w:w="100" w:type="dxa"/>
              <w:right w:w="100" w:type="dxa"/>
            </w:tcMar>
            <w:shd w:val="clear" w:color="auto" w:fill="F9FAFC"/>
          </w:tcPr>
          <w:p>
            <w:r>
              <w:rPr>
                <w:sz w:val="17"/>
              </w:rPr>
              <w:t>cat /var/etc/portal.conf via /read</w:t>
            </w:r>
          </w:p>
        </w:tc>
        <w:tc>
          <w:tcPr>
            <w:tcW w:type="dxa" w:w="1337"/>
            <w:tcMar>
              <w:top w:w="70" w:type="dxa"/>
              <w:bottom w:w="70" w:type="dxa"/>
              <w:left w:w="100" w:type="dxa"/>
              <w:right w:w="100" w:type="dxa"/>
            </w:tcMar>
            <w:shd w:val="clear" w:color="auto" w:fill="F9FAFC"/>
          </w:tcPr>
          <w:p>
            <w:r>
              <w:rPr>
                <w:sz w:val="17"/>
              </w:rPr>
              <w:t>command</w:t>
            </w:r>
          </w:p>
        </w:tc>
        <w:tc>
          <w:tcPr>
            <w:tcW w:type="dxa" w:w="1337"/>
            <w:tcMar>
              <w:top w:w="70" w:type="dxa"/>
              <w:bottom w:w="70" w:type="dxa"/>
              <w:left w:w="100" w:type="dxa"/>
              <w:right w:w="100" w:type="dxa"/>
            </w:tcMar>
            <w:shd w:val="clear" w:color="auto" w:fill="F9FAFC"/>
          </w:tcPr>
          <w:p>
            <w:r>
              <w:rPr>
                <w:sz w:val="17"/>
              </w:rPr>
              <w:t>Unmapped (Background Noise)</w:t>
            </w:r>
          </w:p>
        </w:tc>
        <w:tc>
          <w:tcPr>
            <w:tcW w:type="dxa" w:w="1337"/>
            <w:tcMar>
              <w:top w:w="70" w:type="dxa"/>
              <w:bottom w:w="70" w:type="dxa"/>
              <w:left w:w="100" w:type="dxa"/>
              <w:right w:w="100" w:type="dxa"/>
            </w:tcMar>
            <w:shd w:val="clear" w:color="auto" w:fill="F9FAFC"/>
          </w:tcPr>
          <w:p>
            <w:r>
              <w:rPr>
                <w:sz w:val="17"/>
              </w:rPr>
              <w:t>0.0</w:t>
            </w:r>
          </w:p>
        </w:tc>
        <w:tc>
          <w:tcPr>
            <w:tcW w:type="dxa" w:w="1337"/>
            <w:tcMar>
              <w:top w:w="70" w:type="dxa"/>
              <w:bottom w:w="70" w:type="dxa"/>
              <w:left w:w="100" w:type="dxa"/>
              <w:right w:w="100" w:type="dxa"/>
            </w:tcMar>
            <w:shd w:val="clear" w:color="auto" w:fill="F9FAFC"/>
          </w:tcPr>
          <w:p>
            <w:r>
              <w:rPr>
                <w:sz w:val="17"/>
              </w:rPr>
              <w:t>19.0</w:t>
            </w:r>
          </w:p>
        </w:tc>
      </w:tr>
      <w:tr>
        <w:tc>
          <w:tcPr>
            <w:tcW w:type="dxa" w:w="1337"/>
            <w:tcMar>
              <w:top w:w="70" w:type="dxa"/>
              <w:bottom w:w="70" w:type="dxa"/>
              <w:left w:w="100" w:type="dxa"/>
              <w:right w:w="100" w:type="dxa"/>
            </w:tcMar>
          </w:tcPr>
          <w:p>
            <w:r>
              <w:rPr>
                <w:sz w:val="17"/>
              </w:rPr>
              <w:t>8</w:t>
            </w:r>
          </w:p>
        </w:tc>
        <w:tc>
          <w:tcPr>
            <w:tcW w:type="dxa" w:w="1337"/>
            <w:tcMar>
              <w:top w:w="70" w:type="dxa"/>
              <w:bottom w:w="70" w:type="dxa"/>
              <w:left w:w="100" w:type="dxa"/>
              <w:right w:w="100" w:type="dxa"/>
            </w:tcMar>
          </w:tcPr>
          <w:p>
            <w:r>
              <w:rPr>
                <w:sz w:val="17"/>
              </w:rPr>
              <w:t>5. Reflected XSS</w:t>
            </w:r>
          </w:p>
        </w:tc>
        <w:tc>
          <w:tcPr>
            <w:tcW w:type="dxa" w:w="1337"/>
            <w:tcMar>
              <w:top w:w="70" w:type="dxa"/>
              <w:bottom w:w="70" w:type="dxa"/>
              <w:left w:w="100" w:type="dxa"/>
              <w:right w:w="100" w:type="dxa"/>
            </w:tcMar>
          </w:tcPr>
          <w:p>
            <w:r>
              <w:rPr>
                <w:sz w:val="17"/>
              </w:rPr>
              <w:t>/search?q=&lt;script&gt;alert(1)&lt;/script&gt;</w:t>
            </w:r>
          </w:p>
        </w:tc>
        <w:tc>
          <w:tcPr>
            <w:tcW w:type="dxa" w:w="1337"/>
            <w:tcMar>
              <w:top w:w="70" w:type="dxa"/>
              <w:bottom w:w="70" w:type="dxa"/>
              <w:left w:w="100" w:type="dxa"/>
              <w:right w:w="100" w:type="dxa"/>
            </w:tcMar>
          </w:tcPr>
          <w:p>
            <w:r>
              <w:rPr>
                <w:sz w:val="17"/>
              </w:rPr>
              <w:t>http</w:t>
            </w:r>
          </w:p>
        </w:tc>
        <w:tc>
          <w:tcPr>
            <w:tcW w:type="dxa" w:w="1337"/>
            <w:tcMar>
              <w:top w:w="70" w:type="dxa"/>
              <w:bottom w:w="70" w:type="dxa"/>
              <w:left w:w="100" w:type="dxa"/>
              <w:right w:w="100" w:type="dxa"/>
            </w:tcMar>
          </w:tcPr>
          <w:p>
            <w:r>
              <w:rPr>
                <w:sz w:val="17"/>
              </w:rPr>
              <w:t>T1190 Exploit Public-Facing App</w:t>
            </w:r>
          </w:p>
        </w:tc>
        <w:tc>
          <w:tcPr>
            <w:tcW w:type="dxa" w:w="1337"/>
            <w:tcMar>
              <w:top w:w="70" w:type="dxa"/>
              <w:bottom w:w="70" w:type="dxa"/>
              <w:left w:w="100" w:type="dxa"/>
              <w:right w:w="100" w:type="dxa"/>
            </w:tcMar>
          </w:tcPr>
          <w:p>
            <w:r>
              <w:rPr>
                <w:sz w:val="17"/>
              </w:rPr>
              <w:t>4.0</w:t>
            </w:r>
          </w:p>
        </w:tc>
        <w:tc>
          <w:tcPr>
            <w:tcW w:type="dxa" w:w="1337"/>
            <w:tcMar>
              <w:top w:w="70" w:type="dxa"/>
              <w:bottom w:w="70" w:type="dxa"/>
              <w:left w:w="100" w:type="dxa"/>
              <w:right w:w="100" w:type="dxa"/>
            </w:tcMar>
          </w:tcPr>
          <w:p>
            <w:r>
              <w:rPr>
                <w:sz w:val="17"/>
              </w:rPr>
              <w:t>23.0</w:t>
            </w:r>
          </w:p>
        </w:tc>
      </w:tr>
      <w:tr>
        <w:tc>
          <w:tcPr>
            <w:tcW w:type="dxa" w:w="1337"/>
            <w:tcMar>
              <w:top w:w="70" w:type="dxa"/>
              <w:bottom w:w="70" w:type="dxa"/>
              <w:left w:w="100" w:type="dxa"/>
              <w:right w:w="100" w:type="dxa"/>
            </w:tcMar>
            <w:shd w:val="clear" w:color="auto" w:fill="F9FAFC"/>
          </w:tcPr>
          <w:p>
            <w:r>
              <w:rPr>
                <w:sz w:val="17"/>
              </w:rPr>
              <w:t>9</w:t>
            </w:r>
          </w:p>
        </w:tc>
        <w:tc>
          <w:tcPr>
            <w:tcW w:type="dxa" w:w="1337"/>
            <w:tcMar>
              <w:top w:w="70" w:type="dxa"/>
              <w:bottom w:w="70" w:type="dxa"/>
              <w:left w:w="100" w:type="dxa"/>
              <w:right w:w="100" w:type="dxa"/>
            </w:tcMar>
            <w:shd w:val="clear" w:color="auto" w:fill="F9FAFC"/>
          </w:tcPr>
          <w:p>
            <w:r>
              <w:rPr>
                <w:sz w:val="17"/>
              </w:rPr>
              <w:t>6. Web Shell Upload</w:t>
            </w:r>
          </w:p>
        </w:tc>
        <w:tc>
          <w:tcPr>
            <w:tcW w:type="dxa" w:w="1337"/>
            <w:tcMar>
              <w:top w:w="70" w:type="dxa"/>
              <w:bottom w:w="70" w:type="dxa"/>
              <w:left w:w="100" w:type="dxa"/>
              <w:right w:w="100" w:type="dxa"/>
            </w:tcMar>
            <w:shd w:val="clear" w:color="auto" w:fill="F9FAFC"/>
          </w:tcPr>
          <w:p>
            <w:r>
              <w:rPr>
                <w:sz w:val="17"/>
              </w:rPr>
              <w:t>shell.php (29 bytes) via /upload</w:t>
            </w:r>
          </w:p>
        </w:tc>
        <w:tc>
          <w:tcPr>
            <w:tcW w:type="dxa" w:w="1337"/>
            <w:tcMar>
              <w:top w:w="70" w:type="dxa"/>
              <w:bottom w:w="70" w:type="dxa"/>
              <w:left w:w="100" w:type="dxa"/>
              <w:right w:w="100" w:type="dxa"/>
            </w:tcMar>
            <w:shd w:val="clear" w:color="auto" w:fill="F9FAFC"/>
          </w:tcPr>
          <w:p>
            <w:r>
              <w:rPr>
                <w:sz w:val="17"/>
              </w:rPr>
              <w:t>file_upload</w:t>
            </w:r>
          </w:p>
        </w:tc>
        <w:tc>
          <w:tcPr>
            <w:tcW w:type="dxa" w:w="1337"/>
            <w:tcMar>
              <w:top w:w="70" w:type="dxa"/>
              <w:bottom w:w="70" w:type="dxa"/>
              <w:left w:w="100" w:type="dxa"/>
              <w:right w:w="100" w:type="dxa"/>
            </w:tcMar>
            <w:shd w:val="clear" w:color="auto" w:fill="F9FAFC"/>
          </w:tcPr>
          <w:p>
            <w:r>
              <w:rPr>
                <w:sz w:val="17"/>
              </w:rPr>
              <w:t>T1505.003 Web Shell</w:t>
            </w:r>
          </w:p>
        </w:tc>
        <w:tc>
          <w:tcPr>
            <w:tcW w:type="dxa" w:w="1337"/>
            <w:tcMar>
              <w:top w:w="70" w:type="dxa"/>
              <w:bottom w:w="70" w:type="dxa"/>
              <w:left w:w="100" w:type="dxa"/>
              <w:right w:w="100" w:type="dxa"/>
            </w:tcMar>
            <w:shd w:val="clear" w:color="auto" w:fill="F9FAFC"/>
          </w:tcPr>
          <w:p>
            <w:r>
              <w:rPr>
                <w:sz w:val="17"/>
              </w:rPr>
              <w:t>3.0</w:t>
            </w:r>
          </w:p>
        </w:tc>
        <w:tc>
          <w:tcPr>
            <w:tcW w:type="dxa" w:w="1337"/>
            <w:tcMar>
              <w:top w:w="70" w:type="dxa"/>
              <w:bottom w:w="70" w:type="dxa"/>
              <w:left w:w="100" w:type="dxa"/>
              <w:right w:w="100" w:type="dxa"/>
            </w:tcMar>
            <w:shd w:val="clear" w:color="auto" w:fill="F9FAFC"/>
          </w:tcPr>
          <w:p>
            <w:r>
              <w:rPr>
                <w:sz w:val="17"/>
              </w:rPr>
              <w:t>26.0</w:t>
            </w:r>
          </w:p>
        </w:tc>
      </w:tr>
    </w:tbl>
    <w:p>
      <w:pPr>
        <w:spacing w:after="160"/>
      </w:pPr>
    </w:p>
    <w:p>
      <w:pPr>
        <w:spacing w:before="280" w:after="80"/>
      </w:pPr>
      <w:r>
        <w:rPr>
          <w:b/>
          <w:color w:val="1B365D"/>
          <w:sz w:val="27"/>
        </w:rPr>
        <w:t>7. Limitations and Threats to Validity</w:t>
      </w:r>
    </w:p>
    <w:p>
      <w:r>
        <w:t>A rigorous engineering evaluation requires candid disclosure of system boundaries and known failure modes:</w:t>
      </w:r>
    </w:p>
    <w:p>
      <w:r>
        <w:rPr>
          <w:b/>
        </w:rPr>
        <w:t xml:space="preserve">1. Cross-Honeypot-Only Session Merging: </w:t>
      </w:r>
      <w:r>
        <w:t>The sliding-window correlation engine intentionally isolates intra-honeypot connections. While this prevents collapsing independent brute-force probes from the same IP into one session, it also prevents grouping multiple distinct SSH connections executed by the same attacker over time into a unified persistent identity unless they interact with a secondary decoy.</w:t>
        <w:br/>
      </w:r>
      <w:r>
        <w:rPr>
          <w:b/>
        </w:rPr>
        <w:t xml:space="preserve">2. NAT IP Merging: </w:t>
      </w:r>
      <w:r>
        <w:t>Because correlation relies on source IPv4 addresses, multiple distinct hosts behind a shared enterprise NAT or public proxy will be aggregated into a single campaign session if their activity falls within the 5-minute correlation window.</w:t>
        <w:br/>
      </w:r>
      <w:r>
        <w:rPr>
          <w:b/>
        </w:rPr>
        <w:t xml:space="preserve">3. Command Obfuscation Vulnerability: </w:t>
      </w:r>
      <w:r>
        <w:t>The 16 keyword rules evaluate explicit character sequences. Sophisticated attackers employing shell variable substitution (e.g., c$u\a\t /e't'c/pass'w'd), base64 decoding pipes, or wildcard path expansion bypass the keyword matcher, registering weight 0.0 (Unmapped).</w:t>
        <w:br/>
      </w:r>
      <w:r>
        <w:rPr>
          <w:b/>
        </w:rPr>
        <w:t xml:space="preserve">4. Gameable Lexical Grounding Filter: </w:t>
      </w:r>
      <w:r>
        <w:t>The post-capture hallucination filter in ai-service checks whether candidate technique terms (&gt; 3 characters) appear in raw logs. An adversary who intentionally places words such as 'credential' or 'discovery' into HTTP query strings can manipulate the grounding check into certifying hallucinated semantic suggestions as verified.</w:t>
        <w:br/>
      </w:r>
      <w:r>
        <w:rPr>
          <w:b/>
        </w:rPr>
        <w:t xml:space="preserve">5. Lab-Only Evaluation &amp; Lack of Baseline Comparison: </w:t>
      </w:r>
      <w:r>
        <w:t>The platform was evaluated exclusively against scripted attack harness workflows in a local Docker testbed. The system has not been subjected to unconstrained wild internet traffic, and no empirical throughput or accuracy comparisons were conducted against commercial SIEM platforms under enterprise production loads.</w:t>
      </w:r>
    </w:p>
    <w:p>
      <w:pPr>
        <w:spacing w:before="280" w:after="80"/>
      </w:pPr>
      <w:r>
        <w:rPr>
          <w:b/>
          <w:color w:val="1B365D"/>
          <w:sz w:val="27"/>
        </w:rPr>
        <w:t>8. Conclusion and Future Work</w:t>
      </w:r>
    </w:p>
    <w:p>
      <w:r>
        <w:t>DeceptionNet demonstrates an open-source, reproducible architecture for active cyber defense that harmonizes multi-honeypot orchestration, deterministic ATT&amp;CK mapping, and decoupled generative threat summarization. By strictly excluding LLMs from the live execution loop, DeceptionNet eliminates prompt injection risks and interactive hallucinations while preserving deterministic attribution speed (&lt; 1 ms). The platform's internal consistency is validated by an 84-test automated pytest suite, and its operational flow is demonstrated through a verified live Docker harness run capturing 14 events across 6 sessions (cumulative campaign severity: 26.0).</w:t>
      </w:r>
    </w:p>
    <w:p>
      <w:r>
        <w:t>Future work will focus on integrating de-obfuscation pre-processors for encoded shell commands, exploring zero-knowledge proof attestation for decoy logs, and extending cross-honeypot correlation to support IPv6 subnets and BGP autonomous system boundaries.</w:t>
      </w:r>
    </w:p>
    <w:p>
      <w:pPr>
        <w:spacing w:before="280" w:after="80"/>
      </w:pPr>
      <w:r>
        <w:rPr>
          <w:b/>
          <w:color w:val="1B365D"/>
          <w:sz w:val="27"/>
        </w:rPr>
        <w:t>Declarations</w:t>
      </w:r>
    </w:p>
    <w:p>
      <w:r>
        <w:rPr>
          <w:b/>
        </w:rPr>
        <w:t xml:space="preserve">• AI-Use Disclosure: </w:t>
      </w:r>
      <w:r>
        <w:t>During manuscript drafting, generative AI tools (Google Gemini / Anthropic Claude via the Antigravity coding environment) were utilized exclusively for text synthesis, grammar refinement, and format structuring. All empirical claims, test results, rule counts, and case-study figures were independently executed, verified against the repository codebase, and audited against the Claim Ledger.</w:t>
        <w:br/>
      </w:r>
      <w:r>
        <w:rPr>
          <w:b/>
        </w:rPr>
        <w:t xml:space="preserve">• Conflicts of Interest: </w:t>
      </w:r>
      <w:r>
        <w:t>The authors declare that they have no competing financial or non-financial interests that could have influenced this work.</w:t>
        <w:br/>
      </w:r>
      <w:r>
        <w:rPr>
          <w:b/>
        </w:rPr>
        <w:t xml:space="preserve">• Funding Statement: </w:t>
      </w:r>
      <w:r>
        <w:t>[NEED FROM AUTHOR: Funding sources or state 'This research received no external funding']</w:t>
        <w:br/>
      </w:r>
      <w:r>
        <w:rPr>
          <w:b/>
        </w:rPr>
        <w:t xml:space="preserve">• Data and Code Availability: </w:t>
      </w:r>
      <w:r>
        <w:t>All source code, Docker configurations, test suites, and raw case-study outputs are publicly available in the GitHub repository: https://github.com/Pi25sh/DeceptionNet, pinned at commit SHA 153c58d6b3460c7fd043651d3e302929ee463002.</w:t>
      </w:r>
    </w:p>
    <w:p>
      <w:pPr>
        <w:spacing w:before="280" w:after="80"/>
      </w:pPr>
      <w:r>
        <w:rPr>
          <w:b/>
          <w:color w:val="1B365D"/>
          <w:sz w:val="27"/>
        </w:rPr>
        <w:t>References</w:t>
      </w:r>
    </w:p>
    <w:p>
      <w:pPr>
        <w:spacing w:after="80"/>
        <w:ind w:left="432" w:hanging="432"/>
      </w:pPr>
      <w:r>
        <w:rPr>
          <w:sz w:val="19"/>
        </w:rPr>
        <w:t>[1] L. Spitzner, Honeypots: Tracking Hackers. Boston, MA, USA: Addison-Wesley Professional, 2002. ISBN: 0-321-10895-7.</w:t>
      </w:r>
    </w:p>
    <w:p>
      <w:pPr>
        <w:spacing w:after="80"/>
        <w:ind w:left="432" w:hanging="432"/>
      </w:pPr>
      <w:r>
        <w:rPr>
          <w:sz w:val="19"/>
        </w:rPr>
        <w:t>[2] N. Provos and T. Holz, Virtual Honeypots: From Botnet Tracking to Intrusion Detection. Boston, MA, USA: Addison-Wesley Professional, 2007. ISBN: 978-0-321-33632-3.</w:t>
      </w:r>
    </w:p>
    <w:p>
      <w:pPr>
        <w:spacing w:after="80"/>
        <w:ind w:left="432" w:hanging="432"/>
      </w:pPr>
      <w:r>
        <w:rPr>
          <w:sz w:val="19"/>
        </w:rPr>
        <w:t>[3] D. Fraunholz, S. D. Anton, C. Lipps, D. Reti, D. Krohmer, F. Pohl, M. Tammen, and H. D. Schotten, "Demystifying deception technology: A survey," arXiv preprint arXiv:1804.06196, 2018. [Online]. Available: https://arxiv.org/abs/1804.06196</w:t>
      </w:r>
    </w:p>
    <w:p>
      <w:pPr>
        <w:spacing w:after="80"/>
        <w:ind w:left="432" w:hanging="432"/>
      </w:pPr>
      <w:r>
        <w:rPr>
          <w:sz w:val="19"/>
        </w:rPr>
        <w:t>[4] M. Oosterhof, "Cowrie: An SSH and Telnet honeypot designed to log brute force attacks and shell interaction," GitHub repository, 2014–2024. [Online]. Available: https://github.com/cowrie/cowrie</w:t>
      </w:r>
    </w:p>
    <w:p>
      <w:pPr>
        <w:spacing w:after="80"/>
        <w:ind w:left="432" w:hanging="432"/>
      </w:pPr>
      <w:r>
        <w:rPr>
          <w:sz w:val="19"/>
        </w:rPr>
        <w:t>[5] P. Baecher, M. Bächer, and T. Holz, "Dionaea: Catching malware with low-interaction honeypots," DinoTools, 2009–2024. [Online]. Available: https://github.com/DinoTools/dionaea</w:t>
      </w:r>
    </w:p>
    <w:p>
      <w:pPr>
        <w:spacing w:after="80"/>
        <w:ind w:left="432" w:hanging="432"/>
      </w:pPr>
      <w:r>
        <w:rPr>
          <w:sz w:val="19"/>
        </w:rPr>
        <w:t>[6] B. E. Strom, A. Applebaum, D. P. Miller, K. C. Nickels, A. G. Pennington, and C. B. Thomas, "MITRE ATT&amp;CK: Design and philosophy," The MITRE Corporation, Tech. Rep. MTR180175, Jul. 2018. [Online]. Available: https://www.mitre.org/news-insights/publication-library/mitre-attck-design-and-philosophy</w:t>
      </w:r>
    </w:p>
    <w:p>
      <w:pPr>
        <w:spacing w:after="80"/>
        <w:ind w:left="432" w:hanging="432"/>
      </w:pPr>
      <w:r>
        <w:rPr>
          <w:sz w:val="19"/>
        </w:rPr>
        <w:t>[7] Z. Wang, Z. Ding, X. Qin, Y. Fan, L. Sun, and M. Fan, "HoneyGPT: Breaking the trilemma in terminal honeypots with large language models," arXiv preprint arXiv:2406.01882, 2024. [Online]. Available: https://arxiv.org/abs/2406.01882</w:t>
      </w:r>
    </w:p>
    <w:p>
      <w:pPr>
        <w:spacing w:after="80"/>
        <w:ind w:left="432" w:hanging="432"/>
      </w:pPr>
      <w:r>
        <w:rPr>
          <w:sz w:val="19"/>
        </w:rPr>
        <w:t>[8] H. T. Otal and M. A. Canbaz, "LLM Honeypot: Leveraging large language models as advanced interactive honeypot systems," arXiv preprint arXiv:2409.08234, 2024. [Online]. Available: https://arxiv.org/abs/2409.08234</w:t>
      </w:r>
    </w:p>
    <w:p>
      <w:pPr>
        <w:spacing w:after="80"/>
        <w:ind w:left="432" w:hanging="432"/>
      </w:pPr>
      <w:r>
        <w:rPr>
          <w:sz w:val="19"/>
        </w:rPr>
        <w:t>[9] K. Greshake, S. Abdelnabi, S. Mishra, C. Endres, T. Holz, and M. Fritz, "Not what you've signed up for: Compromising real-world LLM-integrated applications with indirect prompt injection," in Proc. 16th ACM Workshop on Artificial Intelligence and Security (AISEC '23), co-located with ACM CCS, 2023, pp. 79–90. doi: 10.1145/3605764.3623982.</w:t>
      </w:r>
    </w:p>
    <w:p>
      <w:pPr>
        <w:spacing w:after="80"/>
        <w:ind w:left="432" w:hanging="432"/>
      </w:pPr>
      <w:r>
        <w:rPr>
          <w:sz w:val="19"/>
        </w:rPr>
        <w:t>[10] Z. Ji, N. Lee, R. Frieske, T. Yu, D. Su, Y. Xu, E. Ishii, Y. J. Bang, A. Madotto, and P. Fung, "Survey of hallucination in natural language generation," ACM Computing Surveys, vol. 55, no. 12, art. 248, pp. 1–38, Mar. 2023. doi: 10.1145/3571730.</w:t>
      </w:r>
    </w:p>
    <w:p>
      <w:pPr>
        <w:spacing w:after="80"/>
        <w:ind w:left="432" w:hanging="432"/>
      </w:pPr>
      <w:r>
        <w:rPr>
          <w:sz w:val="19"/>
        </w:rPr>
        <w:t>[11] D. Kang, X. Li, I. Stoica, C. Guestrin, M. Zaharia, and T. Hashimoto, "Exploiting programmatic behavior of LLMs: Dual-use through standard security attacks," in Proc. IEEE Security and Privacy Workshops (SPW '23), 2023, pp. 132–143. doi: 10.1109/SPW59261.2023.00019.</w:t>
      </w:r>
    </w:p>
    <w:p>
      <w:pPr>
        <w:spacing w:after="80"/>
        <w:ind w:left="432" w:hanging="432"/>
      </w:pPr>
      <w:r>
        <w:rPr>
          <w:sz w:val="19"/>
        </w:rPr>
        <w:t>[12] F. Cohen, "Operating system protection through program evolution," Computers &amp; Security, vol. 12, no. 6, pp. 565–584, Oct. 1993. doi: 10.1016/0167-4048(93)90054-9.</w:t>
      </w:r>
    </w:p>
    <w:p>
      <w:pPr>
        <w:spacing w:after="80"/>
        <w:ind w:left="432" w:hanging="432"/>
      </w:pPr>
      <w:r>
        <w:rPr>
          <w:sz w:val="19"/>
        </w:rPr>
        <w:t>[13] F. Cohen, "The use of deception in information protection," Computers &amp; Security, vol. 19, no. 5, pp. 455–464, 2000. doi: 10.1016/S0167-4048(00)80007-9.</w:t>
      </w:r>
    </w:p>
    <w:p>
      <w:pPr>
        <w:spacing w:after="80"/>
        <w:ind w:left="432" w:hanging="432"/>
      </w:pPr>
      <w:r>
        <w:rPr>
          <w:sz w:val="19"/>
        </w:rPr>
        <w:t>[14] N. Provos, "A virtual honeypot framework," in Proc. 13th USENIX Security Symposium (USENIX Security '04), San Diego, CA, USA, Aug. 2004, pp. 1–14. [Online]. Available: https://www.usenix.org/legacy/event/sec04/tech/provos.html</w:t>
      </w:r>
    </w:p>
    <w:p>
      <w:pPr>
        <w:spacing w:after="80"/>
        <w:ind w:left="432" w:hanging="432"/>
      </w:pPr>
      <w:r>
        <w:rPr>
          <w:sz w:val="19"/>
        </w:rPr>
        <w:t>[15] T. Holz and F. Raynal, "Detecting honeypots and other suspicious environments," in Proc. 6th IEEE Information Assurance Workshop (IAW '05), West Point, NY, USA, Jun. 2005, pp. 29–36. doi: 10.1109/IAW.2005.1495930.</w:t>
      </w:r>
    </w:p>
    <w:p>
      <w:pPr>
        <w:spacing w:after="80"/>
        <w:ind w:left="432" w:hanging="432"/>
      </w:pPr>
      <w:r>
        <w:rPr>
          <w:sz w:val="19"/>
        </w:rPr>
        <w:t>[16] Telekom Security, "T-Pot: The all-in-one multi-honeypot platform," Deutsche Telekom AG, 2015–2024. [Online]. Available: https://github.com/telekom-security/tpotce</w:t>
      </w:r>
    </w:p>
    <w:p>
      <w:pPr>
        <w:spacing w:after="80"/>
        <w:ind w:left="432" w:hanging="432"/>
      </w:pPr>
      <w:r>
        <w:rPr>
          <w:sz w:val="19"/>
        </w:rPr>
        <w:t>[17] F. Valeur, G. Vigna, C. Kruegel, and R. A. Kemmerer, "A comprehensive approach to intrusion detection alert correlation," IEEE Transactions on Dependable and Secure Computing, vol. 1, no. 3, pp. 146–169, Jul.–Sep. 2004. doi: 10.1109/TDSC.2004.21.</w:t>
      </w:r>
    </w:p>
    <w:p>
      <w:pPr>
        <w:spacing w:after="80"/>
        <w:ind w:left="432" w:hanging="432"/>
      </w:pPr>
      <w:r>
        <w:rPr>
          <w:sz w:val="19"/>
        </w:rPr>
        <w:t>[18] P. Ning, Y. Cui, and D. S. Reeves, "Constructing attack scenarios through correlation of intrusion alerts," in Proc. 9th ACM Conference on Computer and Communications Security (CCS '02), Washington, DC, USA, Nov. 2002, pp. 245–254. doi: 10.1145/586110.586144.</w:t>
      </w:r>
    </w:p>
    <w:p>
      <w:pPr>
        <w:spacing w:after="80"/>
        <w:ind w:left="432" w:hanging="432"/>
      </w:pPr>
      <w:r>
        <w:rPr>
          <w:sz w:val="19"/>
        </w:rPr>
        <w:t>[19] R. Sadoddin and A. A. Ghorbani, "Alert correlation survey: Framework and techniques," in Proc. 2006 International Conference on Privacy, Security and Trust (PST '06), Markham, Ontario, Canada, Oct. 2006, art. 37, pp. 1–12. doi: 10.1145/1501434.1501478.</w:t>
      </w:r>
    </w:p>
    <w:p>
      <w:pPr>
        <w:spacing w:after="80"/>
        <w:ind w:left="432" w:hanging="432"/>
      </w:pPr>
      <w:r>
        <w:rPr>
          <w:sz w:val="19"/>
        </w:rPr>
        <w:t>[20] R. A. Bridges, T. R. Mitchell, M. Muñoz, and T. Henriksson, "SoK: Honeypots &amp; LLMs, more than the sum of their parts?" arXiv preprint arXiv:2510.25939, 2025. [Online]. Available: https://arxiv.org/abs/2510.25939</w:t>
      </w:r>
    </w:p>
    <w:p>
      <w:pPr>
        <w:spacing w:after="80"/>
        <w:ind w:left="432" w:hanging="432"/>
      </w:pPr>
      <w:r>
        <w:rPr>
          <w:sz w:val="19"/>
        </w:rPr>
        <w:t>[21] P. Lewis, E. Perez, A. Piktus, F. Petroni, V. Karpukhin, N. Goyal, H. Küttler, M. Lewis, W. Yih, T. Rocktäschel, S. Riedel, and D. Kiela, "Retrieval-augmented generation for knowledge-intensive NLP tasks," in Advances in Neural Information Processing Systems (NeurIPS 2020), vol. 33, 2020, pp. 9459–9474.</w:t>
      </w:r>
    </w:p>
    <w:p>
      <w:pPr>
        <w:spacing w:after="80"/>
        <w:ind w:left="432" w:hanging="432"/>
      </w:pPr>
      <w:r>
        <w:rPr>
          <w:sz w:val="19"/>
        </w:rPr>
        <w:t>[22] M. A. Ferrag, M. Ndhlovu, N. Tihanyi, L. C. Cordeiro, M. Debbah, T. Lestable, and N. S. Thandi, "Revolutionizing cyber threat detection with large language models: A privacy-preserving BERT-based lightweight model for IoT/IIoT devices," IEEE Access, vol. 12, pp. 23511–23528, 2024. doi: 10.1109/ACCESS.2024.3363469.</w:t>
      </w:r>
    </w:p>
    <w:p>
      <w:pPr>
        <w:spacing w:after="80"/>
        <w:ind w:left="432" w:hanging="432"/>
      </w:pPr>
      <w:r>
        <w:rPr>
          <w:sz w:val="19"/>
        </w:rPr>
        <w:t>[23] The MITRE Corporation, "MITRE ATT&amp;CK Enterprise Matrix," Version 14.1, 2023. [Online]. Available: https://attack.mitre.org/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