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i/>
          <w:color w:val="555555"/>
          <w:sz w:val="20"/>
        </w:rPr>
        <w:t>SN Computer Science</w:t>
      </w:r>
    </w:p>
    <w:p>
      <w:pPr>
        <w:spacing w:after="200"/>
      </w:pPr>
      <w:r>
        <w:rPr>
          <w:b/>
          <w:color w:val="1B365D"/>
          <w:sz w:val="34"/>
        </w:rPr>
        <w:t>DeceptionNet: An Architectural Framework for Multi-Honeypot Active Defense, Deterministic ATT&amp;CK Attribution, and Decoupled Threat Intelligence</w:t>
      </w:r>
    </w:p>
    <w:p>
      <w:pPr>
        <w:spacing w:after="60"/>
      </w:pPr>
      <w:r>
        <w:rPr>
          <w:b/>
          <w:sz w:val="22"/>
        </w:rPr>
        <w:t>[NEED FROM AUTHOR: Project Supervisor¹], Piyush Madan Shinde²*, Shivani Danwe³, [NEED FROM AUTHOR: Co-Author 3⁴], [NEED FROM AUTHOR: Co-Author 4⁵]</w:t>
      </w:r>
    </w:p>
    <w:p>
      <w:pPr>
        <w:spacing w:after="280"/>
      </w:pPr>
      <w:r>
        <w:rPr>
          <w:i/>
          <w:color w:val="444444"/>
          <w:sz w:val="19"/>
        </w:rPr>
        <w:t>²⁻⁵ Department of Computer Science and Engineering, SVERI's College of Engineering, Pandharpur, Maharashtra, India</w:t>
        <w:br/>
        <w:t>¹ Assistant Professor, Department of Computer Science and Engineering, SVERI's College of Engineering, Pandharpur, Maharashtra, India</w:t>
        <w:br/>
        <w:t>*Corresponding Author: Piyush Madan Shinde ([NEED FROM AUTHOR: Author email])</w:t>
        <w:br/>
        <w:t>Repository: https://github.com/Pi25sh/DeceptionNet (pinned commit 0d4111142f4970e83bb8eeede43a5a1b08486214)</w:t>
      </w:r>
    </w:p>
    <w:p>
      <w:pPr>
        <w:spacing w:after="40"/>
      </w:pPr>
      <w:r>
        <w:rPr>
          <w:b/>
          <w:sz w:val="23"/>
        </w:rPr>
        <w:t>Abstract</w:t>
      </w:r>
    </w:p>
    <w:p>
      <w:pPr>
        <w:spacing w:after="120"/>
      </w:pP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pPr>
        <w:spacing w:after="280"/>
      </w:pPr>
      <w:r>
        <w:rPr>
          <w:b/>
          <w:sz w:val="19"/>
        </w:rPr>
        <w:t xml:space="preserve">Keywords: </w:t>
      </w:r>
      <w:r>
        <w:rPr>
          <w:i/>
          <w:sz w:val="19"/>
        </w:rPr>
        <w:t>honeypots, active cyber defense, MITRE ATT&amp;CK, telemetry normalization, cross-honeypot correlation, decoupled LLM summarization, reproducible systems.</w:t>
      </w:r>
    </w:p>
    <w:p>
      <w:pPr>
        <w:spacing w:before="240" w:after="60"/>
      </w:pPr>
      <w:r>
        <w:rPr>
          <w:b/>
          <w:color w:val="1B365D"/>
          <w:sz w:val="25"/>
        </w:rPr>
        <w:t>I. Introduction</w:t>
      </w:r>
    </w:p>
    <w:p>
      <w:r>
        <w:t>Public and enterprise network infrastructures face relentless reconnaissance and automated exploitation attempts by external adversaries. Traditional perimeter defenses, such as network intrusion detection systems and stateful firewalls, struggle under high alert volumes and elevated false-alarm rates when processing legitimate production traffic. Active cyber defense inverts this asymmetry by deploying honeypots—decoy computational systems that emulate genuine operational services but possess no legitimate business function [1], [2]. Because benign enterprise users have no operational cause to interact with these decoys, any interaction with a honeypot is inherently anomalous, yielding high-confidence detection signals with minimal false positives [3].</w:t>
      </w:r>
    </w:p>
    <w:p>
      <w:r>
        <w:t>Despite their strategic efficacy, operating multi-honeypot infrastructures in educational, research, and resource-constrained enterprise environments exposes three critical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Version 14.1 [23])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conversational realism, they introduce severe vulnerabilities: adversaries can exploit indirect prompt injection [9] to alter system state, induce ungrounded hallucinations [10], or execute denial-of-wallet attacks through unbounded token consumption [11]. Importantly, while removing generative models from interactive terminal sockets prevents live hijacking, any post-capture summarizer that processes attacker-controlled logs remains exposed to passive prompt injection and context contamination [22].</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 backed by the committed Claim Ledger.</w:t>
      </w:r>
    </w:p>
    <w:p>
      <w:pPr>
        <w:spacing w:before="240" w:after="60"/>
      </w:pPr>
      <w:r>
        <w:rPr>
          <w:b/>
          <w:color w:val="1B365D"/>
          <w:sz w:val="25"/>
        </w:rPr>
        <w:t>II. Literature Review</w:t>
      </w:r>
    </w:p>
    <w:p>
      <w:r>
        <w:t>The conceptual foundations of computational deception were articulated by Cohen [12], [13] and operationalized by Spitzner [1] and Provos [14]. Low-interaction honeypots emulate network daemon banners and basic protocol handshakes with minimal resource overhead, while high-interaction honeypots expose real operating systems to capture novel exploits at the risk of host compromise [15]. Specialized medium-interaction honeypots like Cowrie [4] and Dionaea [5] strike an effective operational compromise. Multi-honeypot appliances like T-Pot [16] integrate diverse daemons but rely on heavyweight ELK stacks that lack native, weighted ATT&amp;CK technique mapping. Alert correlation methodologies formalized by Valeur et al. [17], Ning et al. [18], and Sadoddin and Ghorbani [19] provide foundational principles for sliding-window temporal aggregation and scenario reconstruction.</w:t>
      </w:r>
    </w:p>
    <w:p>
      <w:r>
        <w:t>Recent investigations into LLM-driven deception, exemplified by HoneyGPT [7], Otal and Canbaz [8], and systematized by Bridges et al. [20], demonstrate the promise of dynamic terminal generation. However, fundamental security liabilities identified by Greshake et al. [9], Kang et al. [11], and Ji et al. [10] highlight how direct generative loops expose decoys to prompt injection, hallucination, and runaway costs. Furthermore, Karanjai et al. [22] recently demonstrated that even offline security log analysis is susceptible to context contamination via passive prompt injection. Table 1 summarizes the recent literature.</w:t>
      </w:r>
    </w:p>
    <w:p>
      <w:pPr>
        <w:spacing w:after="60"/>
      </w:pPr>
      <w:r>
        <w:rPr>
          <w:b/>
        </w:rPr>
        <w:t>Table 1. Comparative Analysis of Recent Studies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B365D"/>
          </w:tcPr>
          <w:p>
            <w:r>
              <w:rPr>
                <w:b/>
                <w:color w:val="FFFFFF"/>
                <w:sz w:val="17"/>
              </w:rPr>
              <w:t>#</w:t>
            </w:r>
          </w:p>
        </w:tc>
        <w:tc>
          <w:tcPr>
            <w:tcW w:type="dxa" w:w="1872"/>
            <w:shd w:val="clear" w:color="auto" w:fill="1B365D"/>
          </w:tcPr>
          <w:p>
            <w:r>
              <w:rPr>
                <w:b/>
                <w:color w:val="FFFFFF"/>
                <w:sz w:val="17"/>
              </w:rPr>
              <w:t>Study</w:t>
            </w:r>
          </w:p>
        </w:tc>
        <w:tc>
          <w:tcPr>
            <w:tcW w:type="dxa" w:w="1872"/>
            <w:shd w:val="clear" w:color="auto" w:fill="1B365D"/>
          </w:tcPr>
          <w:p>
            <w:r>
              <w:rPr>
                <w:b/>
                <w:color w:val="FFFFFF"/>
                <w:sz w:val="17"/>
              </w:rPr>
              <w:t>Year</w:t>
            </w:r>
          </w:p>
        </w:tc>
        <w:tc>
          <w:tcPr>
            <w:tcW w:type="dxa" w:w="1872"/>
            <w:shd w:val="clear" w:color="auto" w:fill="1B365D"/>
          </w:tcPr>
          <w:p>
            <w:r>
              <w:rPr>
                <w:b/>
                <w:color w:val="FFFFFF"/>
                <w:sz w:val="17"/>
              </w:rPr>
              <w:t>Method / Focus</w:t>
            </w:r>
          </w:p>
        </w:tc>
        <w:tc>
          <w:tcPr>
            <w:tcW w:type="dxa" w:w="1872"/>
            <w:shd w:val="clear" w:color="auto" w:fill="1B365D"/>
          </w:tcPr>
          <w:p>
            <w:r>
              <w:rPr>
                <w:b/>
                <w:color w:val="FFFFFF"/>
                <w:sz w:val="17"/>
              </w:rPr>
              <w:t>Key Result / Operational Limitation</w:t>
            </w:r>
          </w:p>
        </w:tc>
      </w:tr>
      <w:tr>
        <w:tc>
          <w:tcPr>
            <w:tcW w:type="dxa" w:w="1872"/>
            <w:tcMar>
              <w:top w:w="60" w:type="dxa"/>
              <w:bottom w:w="60" w:type="dxa"/>
              <w:left w:w="90" w:type="dxa"/>
              <w:right w:w="90" w:type="dxa"/>
            </w:tcMar>
            <w:shd w:val="clear" w:color="auto" w:fill="F9FAFC"/>
          </w:tcPr>
          <w:p>
            <w:r>
              <w:rPr>
                <w:sz w:val="16"/>
              </w:rPr>
              <w:t>1</w:t>
            </w:r>
          </w:p>
        </w:tc>
        <w:tc>
          <w:tcPr>
            <w:tcW w:type="dxa" w:w="1872"/>
            <w:tcMar>
              <w:top w:w="60" w:type="dxa"/>
              <w:bottom w:w="60" w:type="dxa"/>
              <w:left w:w="90" w:type="dxa"/>
              <w:right w:w="90" w:type="dxa"/>
            </w:tcMar>
            <w:shd w:val="clear" w:color="auto" w:fill="F9FAFC"/>
          </w:tcPr>
          <w:p>
            <w:r>
              <w:rPr>
                <w:sz w:val="16"/>
              </w:rPr>
              <w:t>Provos (Honeyd) [14]</w:t>
            </w:r>
          </w:p>
        </w:tc>
        <w:tc>
          <w:tcPr>
            <w:tcW w:type="dxa" w:w="1872"/>
            <w:tcMar>
              <w:top w:w="60" w:type="dxa"/>
              <w:bottom w:w="60" w:type="dxa"/>
              <w:left w:w="90" w:type="dxa"/>
              <w:right w:w="90" w:type="dxa"/>
            </w:tcMar>
            <w:shd w:val="clear" w:color="auto" w:fill="F9FAFC"/>
          </w:tcPr>
          <w:p>
            <w:r>
              <w:rPr>
                <w:sz w:val="16"/>
              </w:rPr>
              <w:t>2004</w:t>
            </w:r>
          </w:p>
        </w:tc>
        <w:tc>
          <w:tcPr>
            <w:tcW w:type="dxa" w:w="1872"/>
            <w:tcMar>
              <w:top w:w="60" w:type="dxa"/>
              <w:bottom w:w="60" w:type="dxa"/>
              <w:left w:w="90" w:type="dxa"/>
              <w:right w:w="90" w:type="dxa"/>
            </w:tcMar>
            <w:shd w:val="clear" w:color="auto" w:fill="F9FAFC"/>
          </w:tcPr>
          <w:p>
            <w:r>
              <w:rPr>
                <w:sz w:val="16"/>
              </w:rPr>
              <w:t>Virtual low-interaction daemon emulation</w:t>
            </w:r>
          </w:p>
        </w:tc>
        <w:tc>
          <w:tcPr>
            <w:tcW w:type="dxa" w:w="1872"/>
            <w:tcMar>
              <w:top w:w="60" w:type="dxa"/>
              <w:bottom w:w="60" w:type="dxa"/>
              <w:left w:w="90" w:type="dxa"/>
              <w:right w:w="90" w:type="dxa"/>
            </w:tcMar>
            <w:shd w:val="clear" w:color="auto" w:fill="F9FAFC"/>
          </w:tcPr>
          <w:p>
            <w:r>
              <w:rPr>
                <w:sz w:val="16"/>
              </w:rPr>
              <w:t>Scalable network decoys; lack application-level shell interactivity</w:t>
            </w:r>
          </w:p>
        </w:tc>
      </w:tr>
      <w:tr>
        <w:tc>
          <w:tcPr>
            <w:tcW w:type="dxa" w:w="1872"/>
            <w:tcMar>
              <w:top w:w="60" w:type="dxa"/>
              <w:bottom w:w="60" w:type="dxa"/>
              <w:left w:w="90" w:type="dxa"/>
              <w:right w:w="90" w:type="dxa"/>
            </w:tcMar>
          </w:tcPr>
          <w:p>
            <w:r>
              <w:rPr>
                <w:sz w:val="16"/>
              </w:rPr>
              <w:t>2</w:t>
            </w:r>
          </w:p>
        </w:tc>
        <w:tc>
          <w:tcPr>
            <w:tcW w:type="dxa" w:w="1872"/>
            <w:tcMar>
              <w:top w:w="60" w:type="dxa"/>
              <w:bottom w:w="60" w:type="dxa"/>
              <w:left w:w="90" w:type="dxa"/>
              <w:right w:w="90" w:type="dxa"/>
            </w:tcMar>
          </w:tcPr>
          <w:p>
            <w:r>
              <w:rPr>
                <w:sz w:val="16"/>
              </w:rPr>
              <w:t>T-Pot Platform [16]</w:t>
            </w:r>
          </w:p>
        </w:tc>
        <w:tc>
          <w:tcPr>
            <w:tcW w:type="dxa" w:w="1872"/>
            <w:tcMar>
              <w:top w:w="60" w:type="dxa"/>
              <w:bottom w:w="60" w:type="dxa"/>
              <w:left w:w="90" w:type="dxa"/>
              <w:right w:w="90" w:type="dxa"/>
            </w:tcMar>
          </w:tcPr>
          <w:p>
            <w:r>
              <w:rPr>
                <w:sz w:val="16"/>
              </w:rPr>
              <w:t>2015–24</w:t>
            </w:r>
          </w:p>
        </w:tc>
        <w:tc>
          <w:tcPr>
            <w:tcW w:type="dxa" w:w="1872"/>
            <w:tcMar>
              <w:top w:w="60" w:type="dxa"/>
              <w:bottom w:w="60" w:type="dxa"/>
              <w:left w:w="90" w:type="dxa"/>
              <w:right w:w="90" w:type="dxa"/>
            </w:tcMar>
          </w:tcPr>
          <w:p>
            <w:r>
              <w:rPr>
                <w:sz w:val="16"/>
              </w:rPr>
              <w:t>Multi-honeypot containerized appliance</w:t>
            </w:r>
          </w:p>
        </w:tc>
        <w:tc>
          <w:tcPr>
            <w:tcW w:type="dxa" w:w="1872"/>
            <w:tcMar>
              <w:top w:w="60" w:type="dxa"/>
              <w:bottom w:w="60" w:type="dxa"/>
              <w:left w:w="90" w:type="dxa"/>
              <w:right w:w="90" w:type="dxa"/>
            </w:tcMar>
          </w:tcPr>
          <w:p>
            <w:r>
              <w:rPr>
                <w:sz w:val="16"/>
              </w:rPr>
              <w:t>Aggregates diverse daemons; heavyweight ELK stack; no native ATT&amp;CK weights</w:t>
            </w:r>
          </w:p>
        </w:tc>
      </w:tr>
      <w:tr>
        <w:tc>
          <w:tcPr>
            <w:tcW w:type="dxa" w:w="1872"/>
            <w:tcMar>
              <w:top w:w="60" w:type="dxa"/>
              <w:bottom w:w="60" w:type="dxa"/>
              <w:left w:w="90" w:type="dxa"/>
              <w:right w:w="90" w:type="dxa"/>
            </w:tcMar>
            <w:shd w:val="clear" w:color="auto" w:fill="F9FAFC"/>
          </w:tcPr>
          <w:p>
            <w:r>
              <w:rPr>
                <w:sz w:val="16"/>
              </w:rPr>
              <w:t>3</w:t>
            </w:r>
          </w:p>
        </w:tc>
        <w:tc>
          <w:tcPr>
            <w:tcW w:type="dxa" w:w="1872"/>
            <w:tcMar>
              <w:top w:w="60" w:type="dxa"/>
              <w:bottom w:w="60" w:type="dxa"/>
              <w:left w:w="90" w:type="dxa"/>
              <w:right w:w="90" w:type="dxa"/>
            </w:tcMar>
            <w:shd w:val="clear" w:color="auto" w:fill="F9FAFC"/>
          </w:tcPr>
          <w:p>
            <w:r>
              <w:rPr>
                <w:sz w:val="16"/>
              </w:rPr>
              <w:t>Valeur et al. [17]</w:t>
            </w:r>
          </w:p>
        </w:tc>
        <w:tc>
          <w:tcPr>
            <w:tcW w:type="dxa" w:w="1872"/>
            <w:tcMar>
              <w:top w:w="60" w:type="dxa"/>
              <w:bottom w:w="60" w:type="dxa"/>
              <w:left w:w="90" w:type="dxa"/>
              <w:right w:w="90" w:type="dxa"/>
            </w:tcMar>
            <w:shd w:val="clear" w:color="auto" w:fill="F9FAFC"/>
          </w:tcPr>
          <w:p>
            <w:r>
              <w:rPr>
                <w:sz w:val="16"/>
              </w:rPr>
              <w:t>2004</w:t>
            </w:r>
          </w:p>
        </w:tc>
        <w:tc>
          <w:tcPr>
            <w:tcW w:type="dxa" w:w="1872"/>
            <w:tcMar>
              <w:top w:w="60" w:type="dxa"/>
              <w:bottom w:w="60" w:type="dxa"/>
              <w:left w:w="90" w:type="dxa"/>
              <w:right w:w="90" w:type="dxa"/>
            </w:tcMar>
            <w:shd w:val="clear" w:color="auto" w:fill="F9FAFC"/>
          </w:tcPr>
          <w:p>
            <w:r>
              <w:rPr>
                <w:sz w:val="16"/>
              </w:rPr>
              <w:t>Comprehensive intrusion alert correlation</w:t>
            </w:r>
          </w:p>
        </w:tc>
        <w:tc>
          <w:tcPr>
            <w:tcW w:type="dxa" w:w="1872"/>
            <w:tcMar>
              <w:top w:w="60" w:type="dxa"/>
              <w:bottom w:w="60" w:type="dxa"/>
              <w:left w:w="90" w:type="dxa"/>
              <w:right w:w="90" w:type="dxa"/>
            </w:tcMar>
            <w:shd w:val="clear" w:color="auto" w:fill="F9FAFC"/>
          </w:tcPr>
          <w:p>
            <w:r>
              <w:rPr>
                <w:sz w:val="16"/>
              </w:rPr>
              <w:t>Establishes sliding-window heuristics; does not target honeypot session binding</w:t>
            </w:r>
          </w:p>
        </w:tc>
      </w:tr>
      <w:tr>
        <w:tc>
          <w:tcPr>
            <w:tcW w:type="dxa" w:w="1872"/>
            <w:tcMar>
              <w:top w:w="60" w:type="dxa"/>
              <w:bottom w:w="60" w:type="dxa"/>
              <w:left w:w="90" w:type="dxa"/>
              <w:right w:w="90" w:type="dxa"/>
            </w:tcMar>
          </w:tcPr>
          <w:p>
            <w:r>
              <w:rPr>
                <w:sz w:val="16"/>
              </w:rPr>
              <w:t>4</w:t>
            </w:r>
          </w:p>
        </w:tc>
        <w:tc>
          <w:tcPr>
            <w:tcW w:type="dxa" w:w="1872"/>
            <w:tcMar>
              <w:top w:w="60" w:type="dxa"/>
              <w:bottom w:w="60" w:type="dxa"/>
              <w:left w:w="90" w:type="dxa"/>
              <w:right w:w="90" w:type="dxa"/>
            </w:tcMar>
          </w:tcPr>
          <w:p>
            <w:r>
              <w:rPr>
                <w:sz w:val="16"/>
              </w:rPr>
              <w:t>Sadoddin &amp; Ghorbani [19]</w:t>
            </w:r>
          </w:p>
        </w:tc>
        <w:tc>
          <w:tcPr>
            <w:tcW w:type="dxa" w:w="1872"/>
            <w:tcMar>
              <w:top w:w="60" w:type="dxa"/>
              <w:bottom w:w="60" w:type="dxa"/>
              <w:left w:w="90" w:type="dxa"/>
              <w:right w:w="90" w:type="dxa"/>
            </w:tcMar>
          </w:tcPr>
          <w:p>
            <w:r>
              <w:rPr>
                <w:sz w:val="16"/>
              </w:rPr>
              <w:t>2006</w:t>
            </w:r>
          </w:p>
        </w:tc>
        <w:tc>
          <w:tcPr>
            <w:tcW w:type="dxa" w:w="1872"/>
            <w:tcMar>
              <w:top w:w="60" w:type="dxa"/>
              <w:bottom w:w="60" w:type="dxa"/>
              <w:left w:w="90" w:type="dxa"/>
              <w:right w:w="90" w:type="dxa"/>
            </w:tcMar>
          </w:tcPr>
          <w:p>
            <w:r>
              <w:rPr>
                <w:sz w:val="16"/>
              </w:rPr>
              <w:t>Alert correlation survey &amp; framework</w:t>
            </w:r>
          </w:p>
        </w:tc>
        <w:tc>
          <w:tcPr>
            <w:tcW w:type="dxa" w:w="1872"/>
            <w:tcMar>
              <w:top w:w="60" w:type="dxa"/>
              <w:bottom w:w="60" w:type="dxa"/>
              <w:left w:w="90" w:type="dxa"/>
              <w:right w:w="90" w:type="dxa"/>
            </w:tcMar>
          </w:tcPr>
          <w:p>
            <w:r>
              <w:rPr>
                <w:sz w:val="16"/>
              </w:rPr>
              <w:t>Surveys structural and statistical correlation; identifies multi-source fusion gaps</w:t>
            </w:r>
          </w:p>
        </w:tc>
      </w:tr>
      <w:tr>
        <w:tc>
          <w:tcPr>
            <w:tcW w:type="dxa" w:w="1872"/>
            <w:tcMar>
              <w:top w:w="60" w:type="dxa"/>
              <w:bottom w:w="60" w:type="dxa"/>
              <w:left w:w="90" w:type="dxa"/>
              <w:right w:w="90" w:type="dxa"/>
            </w:tcMar>
            <w:shd w:val="clear" w:color="auto" w:fill="F9FAFC"/>
          </w:tcPr>
          <w:p>
            <w:r>
              <w:rPr>
                <w:sz w:val="16"/>
              </w:rPr>
              <w:t>5</w:t>
            </w:r>
          </w:p>
        </w:tc>
        <w:tc>
          <w:tcPr>
            <w:tcW w:type="dxa" w:w="1872"/>
            <w:tcMar>
              <w:top w:w="60" w:type="dxa"/>
              <w:bottom w:w="60" w:type="dxa"/>
              <w:left w:w="90" w:type="dxa"/>
              <w:right w:w="90" w:type="dxa"/>
            </w:tcMar>
            <w:shd w:val="clear" w:color="auto" w:fill="F9FAFC"/>
          </w:tcPr>
          <w:p>
            <w:r>
              <w:rPr>
                <w:sz w:val="16"/>
              </w:rPr>
              <w:t>HoneyGPT (Wang et al.) [7]</w:t>
            </w:r>
          </w:p>
        </w:tc>
        <w:tc>
          <w:tcPr>
            <w:tcW w:type="dxa" w:w="1872"/>
            <w:tcMar>
              <w:top w:w="60" w:type="dxa"/>
              <w:bottom w:w="60" w:type="dxa"/>
              <w:left w:w="90" w:type="dxa"/>
              <w:right w:w="90" w:type="dxa"/>
            </w:tcMar>
            <w:shd w:val="clear" w:color="auto" w:fill="F9FAFC"/>
          </w:tcPr>
          <w:p>
            <w:r>
              <w:rPr>
                <w:sz w:val="16"/>
              </w:rPr>
              <w:t>2024</w:t>
            </w:r>
          </w:p>
        </w:tc>
        <w:tc>
          <w:tcPr>
            <w:tcW w:type="dxa" w:w="1872"/>
            <w:tcMar>
              <w:top w:w="60" w:type="dxa"/>
              <w:bottom w:w="60" w:type="dxa"/>
              <w:left w:w="90" w:type="dxa"/>
              <w:right w:w="90" w:type="dxa"/>
            </w:tcMar>
            <w:shd w:val="clear" w:color="auto" w:fill="F9FAFC"/>
          </w:tcPr>
          <w:p>
            <w:r>
              <w:rPr>
                <w:sz w:val="16"/>
              </w:rPr>
              <w:t>Chain-of-thought terminal shell LLM</w:t>
            </w:r>
          </w:p>
        </w:tc>
        <w:tc>
          <w:tcPr>
            <w:tcW w:type="dxa" w:w="1872"/>
            <w:tcMar>
              <w:top w:w="60" w:type="dxa"/>
              <w:bottom w:w="60" w:type="dxa"/>
              <w:left w:w="90" w:type="dxa"/>
              <w:right w:w="90" w:type="dxa"/>
            </w:tcMar>
            <w:shd w:val="clear" w:color="auto" w:fill="F9FAFC"/>
          </w:tcPr>
          <w:p>
            <w:r>
              <w:rPr>
                <w:sz w:val="16"/>
              </w:rPr>
              <w:t>High conversational realism; vulnerable to indirect prompt injection and cost spikes</w:t>
            </w:r>
          </w:p>
        </w:tc>
      </w:tr>
      <w:tr>
        <w:tc>
          <w:tcPr>
            <w:tcW w:type="dxa" w:w="1872"/>
            <w:tcMar>
              <w:top w:w="60" w:type="dxa"/>
              <w:bottom w:w="60" w:type="dxa"/>
              <w:left w:w="90" w:type="dxa"/>
              <w:right w:w="90" w:type="dxa"/>
            </w:tcMar>
          </w:tcPr>
          <w:p>
            <w:r>
              <w:rPr>
                <w:sz w:val="16"/>
              </w:rPr>
              <w:t>6</w:t>
            </w:r>
          </w:p>
        </w:tc>
        <w:tc>
          <w:tcPr>
            <w:tcW w:type="dxa" w:w="1872"/>
            <w:tcMar>
              <w:top w:w="60" w:type="dxa"/>
              <w:bottom w:w="60" w:type="dxa"/>
              <w:left w:w="90" w:type="dxa"/>
              <w:right w:w="90" w:type="dxa"/>
            </w:tcMar>
          </w:tcPr>
          <w:p>
            <w:r>
              <w:rPr>
                <w:sz w:val="16"/>
              </w:rPr>
              <w:t>Otal &amp; Canbaz [8]</w:t>
            </w:r>
          </w:p>
        </w:tc>
        <w:tc>
          <w:tcPr>
            <w:tcW w:type="dxa" w:w="1872"/>
            <w:tcMar>
              <w:top w:w="60" w:type="dxa"/>
              <w:bottom w:w="60" w:type="dxa"/>
              <w:left w:w="90" w:type="dxa"/>
              <w:right w:w="90" w:type="dxa"/>
            </w:tcMar>
          </w:tcPr>
          <w:p>
            <w:r>
              <w:rPr>
                <w:sz w:val="16"/>
              </w:rPr>
              <w:t>2024</w:t>
            </w:r>
          </w:p>
        </w:tc>
        <w:tc>
          <w:tcPr>
            <w:tcW w:type="dxa" w:w="1872"/>
            <w:tcMar>
              <w:top w:w="60" w:type="dxa"/>
              <w:bottom w:w="60" w:type="dxa"/>
              <w:left w:w="90" w:type="dxa"/>
              <w:right w:w="90" w:type="dxa"/>
            </w:tcMar>
          </w:tcPr>
          <w:p>
            <w:r>
              <w:rPr>
                <w:sz w:val="16"/>
              </w:rPr>
              <w:t>Fine-tuned open-source LLM honeypot</w:t>
            </w:r>
          </w:p>
        </w:tc>
        <w:tc>
          <w:tcPr>
            <w:tcW w:type="dxa" w:w="1872"/>
            <w:tcMar>
              <w:top w:w="60" w:type="dxa"/>
              <w:bottom w:w="60" w:type="dxa"/>
              <w:left w:w="90" w:type="dxa"/>
              <w:right w:w="90" w:type="dxa"/>
            </w:tcMar>
          </w:tcPr>
          <w:p>
            <w:r>
              <w:rPr>
                <w:sz w:val="16"/>
              </w:rPr>
              <w:t>Autonomous shell generation; susceptible to ungrounded hallucinated commands</w:t>
            </w:r>
          </w:p>
        </w:tc>
      </w:tr>
      <w:tr>
        <w:tc>
          <w:tcPr>
            <w:tcW w:type="dxa" w:w="1872"/>
            <w:tcMar>
              <w:top w:w="60" w:type="dxa"/>
              <w:bottom w:w="60" w:type="dxa"/>
              <w:left w:w="90" w:type="dxa"/>
              <w:right w:w="90" w:type="dxa"/>
            </w:tcMar>
            <w:shd w:val="clear" w:color="auto" w:fill="F9FAFC"/>
          </w:tcPr>
          <w:p>
            <w:r>
              <w:rPr>
                <w:sz w:val="16"/>
              </w:rPr>
              <w:t>7</w:t>
            </w:r>
          </w:p>
        </w:tc>
        <w:tc>
          <w:tcPr>
            <w:tcW w:type="dxa" w:w="1872"/>
            <w:tcMar>
              <w:top w:w="60" w:type="dxa"/>
              <w:bottom w:w="60" w:type="dxa"/>
              <w:left w:w="90" w:type="dxa"/>
              <w:right w:w="90" w:type="dxa"/>
            </w:tcMar>
            <w:shd w:val="clear" w:color="auto" w:fill="F9FAFC"/>
          </w:tcPr>
          <w:p>
            <w:r>
              <w:rPr>
                <w:sz w:val="16"/>
              </w:rPr>
              <w:t>Greshake et al. [9]</w:t>
            </w:r>
          </w:p>
        </w:tc>
        <w:tc>
          <w:tcPr>
            <w:tcW w:type="dxa" w:w="1872"/>
            <w:tcMar>
              <w:top w:w="60" w:type="dxa"/>
              <w:bottom w:w="60" w:type="dxa"/>
              <w:left w:w="90" w:type="dxa"/>
              <w:right w:w="90" w:type="dxa"/>
            </w:tcMar>
            <w:shd w:val="clear" w:color="auto" w:fill="F9FAFC"/>
          </w:tcPr>
          <w:p>
            <w:r>
              <w:rPr>
                <w:sz w:val="16"/>
              </w:rPr>
              <w:t>2023</w:t>
            </w:r>
          </w:p>
        </w:tc>
        <w:tc>
          <w:tcPr>
            <w:tcW w:type="dxa" w:w="1872"/>
            <w:tcMar>
              <w:top w:w="60" w:type="dxa"/>
              <w:bottom w:w="60" w:type="dxa"/>
              <w:left w:w="90" w:type="dxa"/>
              <w:right w:w="90" w:type="dxa"/>
            </w:tcMar>
            <w:shd w:val="clear" w:color="auto" w:fill="F9FAFC"/>
          </w:tcPr>
          <w:p>
            <w:r>
              <w:rPr>
                <w:sz w:val="16"/>
              </w:rPr>
              <w:t>Indirect prompt injection analysis</w:t>
            </w:r>
          </w:p>
        </w:tc>
        <w:tc>
          <w:tcPr>
            <w:tcW w:type="dxa" w:w="1872"/>
            <w:tcMar>
              <w:top w:w="60" w:type="dxa"/>
              <w:bottom w:w="60" w:type="dxa"/>
              <w:left w:w="90" w:type="dxa"/>
              <w:right w:w="90" w:type="dxa"/>
            </w:tcMar>
            <w:shd w:val="clear" w:color="auto" w:fill="F9FAFC"/>
          </w:tcPr>
          <w:p>
            <w:r>
              <w:rPr>
                <w:sz w:val="16"/>
              </w:rPr>
              <w:t>Proves attackers can manipulate LLM behavior through untrusted data ingestion</w:t>
            </w:r>
          </w:p>
        </w:tc>
      </w:tr>
      <w:tr>
        <w:tc>
          <w:tcPr>
            <w:tcW w:type="dxa" w:w="1872"/>
            <w:tcMar>
              <w:top w:w="60" w:type="dxa"/>
              <w:bottom w:w="60" w:type="dxa"/>
              <w:left w:w="90" w:type="dxa"/>
              <w:right w:w="90" w:type="dxa"/>
            </w:tcMar>
          </w:tcPr>
          <w:p>
            <w:r>
              <w:rPr>
                <w:sz w:val="16"/>
              </w:rPr>
              <w:t>8</w:t>
            </w:r>
          </w:p>
        </w:tc>
        <w:tc>
          <w:tcPr>
            <w:tcW w:type="dxa" w:w="1872"/>
            <w:tcMar>
              <w:top w:w="60" w:type="dxa"/>
              <w:bottom w:w="60" w:type="dxa"/>
              <w:left w:w="90" w:type="dxa"/>
              <w:right w:w="90" w:type="dxa"/>
            </w:tcMar>
          </w:tcPr>
          <w:p>
            <w:r>
              <w:rPr>
                <w:sz w:val="16"/>
              </w:rPr>
              <w:t>Karanjai et al. [22]</w:t>
            </w:r>
          </w:p>
        </w:tc>
        <w:tc>
          <w:tcPr>
            <w:tcW w:type="dxa" w:w="1872"/>
            <w:tcMar>
              <w:top w:w="60" w:type="dxa"/>
              <w:bottom w:w="60" w:type="dxa"/>
              <w:left w:w="90" w:type="dxa"/>
              <w:right w:w="90" w:type="dxa"/>
            </w:tcMar>
          </w:tcPr>
          <w:p>
            <w:r>
              <w:rPr>
                <w:sz w:val="16"/>
              </w:rPr>
              <w:t>2026</w:t>
            </w:r>
          </w:p>
        </w:tc>
        <w:tc>
          <w:tcPr>
            <w:tcW w:type="dxa" w:w="1872"/>
            <w:tcMar>
              <w:top w:w="60" w:type="dxa"/>
              <w:bottom w:w="60" w:type="dxa"/>
              <w:left w:w="90" w:type="dxa"/>
              <w:right w:w="90" w:type="dxa"/>
            </w:tcMar>
          </w:tcPr>
          <w:p>
            <w:r>
              <w:rPr>
                <w:sz w:val="16"/>
              </w:rPr>
              <w:t>Passive prompt injection in SOC logs</w:t>
            </w:r>
          </w:p>
        </w:tc>
        <w:tc>
          <w:tcPr>
            <w:tcW w:type="dxa" w:w="1872"/>
            <w:tcMar>
              <w:top w:w="60" w:type="dxa"/>
              <w:bottom w:w="60" w:type="dxa"/>
              <w:left w:w="90" w:type="dxa"/>
              <w:right w:w="90" w:type="dxa"/>
            </w:tcMar>
          </w:tcPr>
          <w:p>
            <w:r>
              <w:rPr>
                <w:sz w:val="16"/>
              </w:rPr>
              <w:t>Demonstrates context contamination when LLMs summarize untrusted network telemetry</w:t>
            </w:r>
          </w:p>
        </w:tc>
      </w:tr>
    </w:tbl>
    <w:p>
      <w:pPr>
        <w:spacing w:after="120"/>
      </w:pPr>
    </w:p>
    <w:p>
      <w:pPr>
        <w:spacing w:after="40"/>
      </w:pPr>
      <w:r>
        <w:rPr>
          <w:b/>
        </w:rPr>
        <w:t>Research Gap</w:t>
      </w:r>
    </w:p>
    <w:p>
      <w:r>
        <w:t>• Most honeypot deployments operate as isolated silos, lacking unified normalization and cross-protocol correlation.</w:t>
        <w:br/>
      </w:r>
      <w:r>
        <w:t>• Existing multi-honeypot architectures rely on generic SIEMs that do not natively execute deterministic ATT&amp;CK mapping with monotonic severity scoring.</w:t>
        <w:br/>
      </w:r>
      <w:r>
        <w:t>• Emerging interactive LLM honeypots expose live network sockets to prompt injection, hallucinations, and unbounded token costs.</w:t>
        <w:br/>
      </w:r>
      <w:r>
        <w:t>• Academic deception prototypes frequently lack automated unit-test verification, reproducible Docker testbeds, and committed raw execution evidence.</w:t>
      </w:r>
    </w:p>
    <w:p>
      <w:pPr>
        <w:spacing w:before="240" w:after="60"/>
      </w:pPr>
      <w:r>
        <w:rPr>
          <w:b/>
          <w:color w:val="1B365D"/>
          <w:sz w:val="25"/>
        </w:rPr>
        <w:t>III. Problem Statement</w:t>
      </w:r>
    </w:p>
    <w:p>
      <w:r>
        <w:t>Modern enterprise perimeter defense requires rapid, automated detection and attribution of multi-stage network intrusions. While honeypots offer high-fidelity signals by penalizing unauthorized decoy interaction, enterprise deployments face severe telemetry fragmentation across heterogeneous daemons, operational triage latency, and high false-alarm overhead. Furthermore, recent efforts to embed generative LLMs into interactive shell emulation introduce critical vulnerabilities—including prompt injection, non-deterministic hallucinations, and token exhaustion. DeceptionNet resolves this challenge by providing an open-source, containerized active defense framework that pairs multi-service honeypot decoys with deterministic sub-millisecond MITRE ATT&amp;CK attribution, monotonic severity scoring, and a sliding-window correlation engine, while restricting generative LLMs exclusively to post-capture incident reporting.</w:t>
      </w:r>
    </w:p>
    <w:p>
      <w:pPr>
        <w:spacing w:before="240" w:after="60"/>
      </w:pPr>
      <w:r>
        <w:rPr>
          <w:b/>
          <w:color w:val="1B365D"/>
          <w:sz w:val="25"/>
        </w:rPr>
        <w:t>IV. Objectives</w:t>
      </w:r>
    </w:p>
    <w:p>
      <w:r>
        <w:t>To address these operational challenges, DeceptionNet is engineered around ten concrete, testable objectives outlined in Table 2:</w:t>
      </w:r>
    </w:p>
    <w:p>
      <w:pPr>
        <w:spacing w:after="60"/>
      </w:pPr>
      <w:r>
        <w:rPr>
          <w:b/>
        </w:rPr>
        <w:t>Table 2. Platform Objectives and Implementation Reality</w:t>
      </w:r>
    </w:p>
    <w:tbl>
      <w:tblPr>
        <w:tblW w:type="auto" w:w="0"/>
        <w:jc w:val="center"/>
        <w:tblLook w:firstColumn="1" w:firstRow="1" w:lastColumn="0" w:lastRow="0" w:noHBand="0" w:noVBand="1" w:val="04A0"/>
      </w:tblPr>
      <w:tblGrid>
        <w:gridCol w:w="4680"/>
        <w:gridCol w:w="4680"/>
      </w:tblGrid>
      <w:tr>
        <w:tc>
          <w:tcPr>
            <w:tcW w:type="dxa" w:w="4680"/>
            <w:shd w:val="clear" w:color="auto" w:fill="1B365D"/>
          </w:tcPr>
          <w:p>
            <w:r>
              <w:rPr>
                <w:b/>
                <w:color w:val="FFFFFF"/>
                <w:sz w:val="17"/>
              </w:rPr>
              <w:t>Objective</w:t>
            </w:r>
          </w:p>
        </w:tc>
        <w:tc>
          <w:tcPr>
            <w:tcW w:type="dxa" w:w="4680"/>
            <w:shd w:val="clear" w:color="auto" w:fill="1B365D"/>
          </w:tcPr>
          <w:p>
            <w:r>
              <w:rPr>
                <w:b/>
                <w:color w:val="FFFFFF"/>
                <w:sz w:val="17"/>
              </w:rPr>
              <w:t>What it means in practice</w:t>
            </w:r>
          </w:p>
        </w:tc>
      </w:tr>
      <w:tr>
        <w:tc>
          <w:tcPr>
            <w:tcW w:type="dxa" w:w="4680"/>
            <w:tcMar>
              <w:top w:w="60" w:type="dxa"/>
              <w:bottom w:w="60" w:type="dxa"/>
              <w:left w:w="90" w:type="dxa"/>
              <w:right w:w="90" w:type="dxa"/>
            </w:tcMar>
            <w:shd w:val="clear" w:color="auto" w:fill="F9FAFC"/>
          </w:tcPr>
          <w:p>
            <w:r>
              <w:rPr>
                <w:sz w:val="16"/>
              </w:rPr>
              <w:t>1. Multi-Honeypot Decoy Orchestration</w:t>
            </w:r>
          </w:p>
        </w:tc>
        <w:tc>
          <w:tcPr>
            <w:tcW w:type="dxa" w:w="4680"/>
            <w:tcMar>
              <w:top w:w="60" w:type="dxa"/>
              <w:bottom w:w="60" w:type="dxa"/>
              <w:left w:w="90" w:type="dxa"/>
              <w:right w:w="90" w:type="dxa"/>
            </w:tcMar>
            <w:shd w:val="clear" w:color="auto" w:fill="F9FAFC"/>
          </w:tcPr>
          <w:p>
            <w:r>
              <w:rPr>
                <w:sz w:val="16"/>
              </w:rPr>
              <w:t>Deploy Cowrie (SSH/Telnet), Dionaea (SMB/FTP/HTTP), Custom Decoy, and Flask web app in isolated Docker networks.</w:t>
            </w:r>
          </w:p>
        </w:tc>
      </w:tr>
      <w:tr>
        <w:tc>
          <w:tcPr>
            <w:tcW w:type="dxa" w:w="4680"/>
            <w:tcMar>
              <w:top w:w="60" w:type="dxa"/>
              <w:bottom w:w="60" w:type="dxa"/>
              <w:left w:w="90" w:type="dxa"/>
              <w:right w:w="90" w:type="dxa"/>
            </w:tcMar>
          </w:tcPr>
          <w:p>
            <w:r>
              <w:rPr>
                <w:sz w:val="16"/>
              </w:rPr>
              <w:t>2. Asynchronous Telemetry Ingestion</w:t>
            </w:r>
          </w:p>
        </w:tc>
        <w:tc>
          <w:tcPr>
            <w:tcW w:type="dxa" w:w="4680"/>
            <w:tcMar>
              <w:top w:w="60" w:type="dxa"/>
              <w:bottom w:w="60" w:type="dxa"/>
              <w:left w:w="90" w:type="dxa"/>
              <w:right w:w="90" w:type="dxa"/>
            </w:tcMar>
          </w:tcPr>
          <w:p>
            <w:r>
              <w:rPr>
                <w:sz w:val="16"/>
              </w:rPr>
              <w:t>Tail heterogeneous decoy logs in real time, normalize into a uniform JSON schema, and forward via HTTP to core-api.</w:t>
            </w:r>
          </w:p>
        </w:tc>
      </w:tr>
      <w:tr>
        <w:tc>
          <w:tcPr>
            <w:tcW w:type="dxa" w:w="4680"/>
            <w:tcMar>
              <w:top w:w="60" w:type="dxa"/>
              <w:bottom w:w="60" w:type="dxa"/>
              <w:left w:w="90" w:type="dxa"/>
              <w:right w:w="90" w:type="dxa"/>
            </w:tcMar>
            <w:shd w:val="clear" w:color="auto" w:fill="F9FAFC"/>
          </w:tcPr>
          <w:p>
            <w:r>
              <w:rPr>
                <w:sz w:val="16"/>
              </w:rPr>
              <w:t>3. Deterministic MITRE ATT&amp;CK Attribution</w:t>
            </w:r>
          </w:p>
        </w:tc>
        <w:tc>
          <w:tcPr>
            <w:tcW w:type="dxa" w:w="4680"/>
            <w:tcMar>
              <w:top w:w="60" w:type="dxa"/>
              <w:bottom w:w="60" w:type="dxa"/>
              <w:left w:w="90" w:type="dxa"/>
              <w:right w:w="90" w:type="dxa"/>
            </w:tcMar>
            <w:shd w:val="clear" w:color="auto" w:fill="F9FAFC"/>
          </w:tcPr>
          <w:p>
            <w:r>
              <w:rPr>
                <w:sz w:val="16"/>
              </w:rPr>
              <w:t>Map shell commands and protocol actions through a 34-rule hierarchy to 22 distinct ATT&amp;CK techniques with zero LLM hallucinations.</w:t>
            </w:r>
          </w:p>
        </w:tc>
      </w:tr>
      <w:tr>
        <w:tc>
          <w:tcPr>
            <w:tcW w:type="dxa" w:w="4680"/>
            <w:tcMar>
              <w:top w:w="60" w:type="dxa"/>
              <w:bottom w:w="60" w:type="dxa"/>
              <w:left w:w="90" w:type="dxa"/>
              <w:right w:w="90" w:type="dxa"/>
            </w:tcMar>
          </w:tcPr>
          <w:p>
            <w:r>
              <w:rPr>
                <w:sz w:val="16"/>
              </w:rPr>
              <w:t>4. Monotonic Additive Severity Scoring</w:t>
            </w:r>
          </w:p>
        </w:tc>
        <w:tc>
          <w:tcPr>
            <w:tcW w:type="dxa" w:w="4680"/>
            <w:tcMar>
              <w:top w:w="60" w:type="dxa"/>
              <w:bottom w:w="60" w:type="dxa"/>
              <w:left w:w="90" w:type="dxa"/>
              <w:right w:w="90" w:type="dxa"/>
            </w:tcMar>
          </w:tcPr>
          <w:p>
            <w:r>
              <w:rPr>
                <w:sz w:val="16"/>
              </w:rPr>
              <w:t>Increment session threat severity additively upon verified techniques, classifying incidents into Low, Elevated, High, and Critical tiers.</w:t>
            </w:r>
          </w:p>
        </w:tc>
      </w:tr>
      <w:tr>
        <w:tc>
          <w:tcPr>
            <w:tcW w:type="dxa" w:w="4680"/>
            <w:tcMar>
              <w:top w:w="60" w:type="dxa"/>
              <w:bottom w:w="60" w:type="dxa"/>
              <w:left w:w="90" w:type="dxa"/>
              <w:right w:w="90" w:type="dxa"/>
            </w:tcMar>
            <w:shd w:val="clear" w:color="auto" w:fill="F9FAFC"/>
          </w:tcPr>
          <w:p>
            <w:r>
              <w:rPr>
                <w:sz w:val="16"/>
              </w:rPr>
              <w:t>5. Sliding-Window Cross-Honeypot Correlation</w:t>
            </w:r>
          </w:p>
        </w:tc>
        <w:tc>
          <w:tcPr>
            <w:tcW w:type="dxa" w:w="4680"/>
            <w:tcMar>
              <w:top w:w="60" w:type="dxa"/>
              <w:bottom w:w="60" w:type="dxa"/>
              <w:left w:w="90" w:type="dxa"/>
              <w:right w:w="90" w:type="dxa"/>
            </w:tcMar>
            <w:shd w:val="clear" w:color="auto" w:fill="F9FAFC"/>
          </w:tcPr>
          <w:p>
            <w:r>
              <w:rPr>
                <w:sz w:val="16"/>
              </w:rPr>
              <w:t>Isolate concurrent sessions within the same honeypot while fusing cross-honeypot events sharing an IP within a 5-minute window.</w:t>
            </w:r>
          </w:p>
        </w:tc>
      </w:tr>
      <w:tr>
        <w:tc>
          <w:tcPr>
            <w:tcW w:type="dxa" w:w="4680"/>
            <w:tcMar>
              <w:top w:w="60" w:type="dxa"/>
              <w:bottom w:w="60" w:type="dxa"/>
              <w:left w:w="90" w:type="dxa"/>
              <w:right w:w="90" w:type="dxa"/>
            </w:tcMar>
          </w:tcPr>
          <w:p>
            <w:r>
              <w:rPr>
                <w:sz w:val="16"/>
              </w:rPr>
              <w:t>6. Decoupled AI Threat Intelligence</w:t>
            </w:r>
          </w:p>
        </w:tc>
        <w:tc>
          <w:tcPr>
            <w:tcW w:type="dxa" w:w="4680"/>
            <w:tcMar>
              <w:top w:w="60" w:type="dxa"/>
              <w:bottom w:w="60" w:type="dxa"/>
              <w:left w:w="90" w:type="dxa"/>
              <w:right w:w="90" w:type="dxa"/>
            </w:tcMar>
          </w:tcPr>
          <w:p>
            <w:r>
              <w:rPr>
                <w:sz w:val="16"/>
              </w:rPr>
              <w:t>Bar generative models from live socket emulation; invoke Gemini/Claude strictly post-capture for narrative incident synthesis.</w:t>
            </w:r>
          </w:p>
        </w:tc>
      </w:tr>
      <w:tr>
        <w:tc>
          <w:tcPr>
            <w:tcW w:type="dxa" w:w="4680"/>
            <w:tcMar>
              <w:top w:w="60" w:type="dxa"/>
              <w:bottom w:w="60" w:type="dxa"/>
              <w:left w:w="90" w:type="dxa"/>
              <w:right w:w="90" w:type="dxa"/>
            </w:tcMar>
            <w:shd w:val="clear" w:color="auto" w:fill="F9FAFC"/>
          </w:tcPr>
          <w:p>
            <w:r>
              <w:rPr>
                <w:sz w:val="16"/>
              </w:rPr>
              <w:t>7. Lexical Grounding Verification</w:t>
            </w:r>
          </w:p>
        </w:tc>
        <w:tc>
          <w:tcPr>
            <w:tcW w:type="dxa" w:w="4680"/>
            <w:tcMar>
              <w:top w:w="60" w:type="dxa"/>
              <w:bottom w:w="60" w:type="dxa"/>
              <w:left w:w="90" w:type="dxa"/>
              <w:right w:w="90" w:type="dxa"/>
            </w:tcMar>
            <w:shd w:val="clear" w:color="auto" w:fill="F9FAFC"/>
          </w:tcPr>
          <w:p>
            <w:r>
              <w:rPr>
                <w:sz w:val="16"/>
              </w:rPr>
              <w:t>Enforce that semantic ATT&amp;CK recommendations contain tokens (&gt; 3 characters) present in raw event logs before PDF inclusion.</w:t>
            </w:r>
          </w:p>
        </w:tc>
      </w:tr>
      <w:tr>
        <w:tc>
          <w:tcPr>
            <w:tcW w:type="dxa" w:w="4680"/>
            <w:tcMar>
              <w:top w:w="60" w:type="dxa"/>
              <w:bottom w:w="60" w:type="dxa"/>
              <w:left w:w="90" w:type="dxa"/>
              <w:right w:w="90" w:type="dxa"/>
            </w:tcMar>
          </w:tcPr>
          <w:p>
            <w:r>
              <w:rPr>
                <w:sz w:val="16"/>
              </w:rPr>
              <w:t>8. Operator Web Monitoring Dashboard</w:t>
            </w:r>
          </w:p>
        </w:tc>
        <w:tc>
          <w:tcPr>
            <w:tcW w:type="dxa" w:w="4680"/>
            <w:tcMar>
              <w:top w:w="60" w:type="dxa"/>
              <w:bottom w:w="60" w:type="dxa"/>
              <w:left w:w="90" w:type="dxa"/>
              <w:right w:w="90" w:type="dxa"/>
            </w:tcMar>
          </w:tcPr>
          <w:p>
            <w:r>
              <w:rPr>
                <w:sz w:val="16"/>
              </w:rPr>
              <w:t>Provide a responsive React 18 single-page dashboard streaming live WebSockets, timelines, and downloadable incident reports.</w:t>
            </w:r>
          </w:p>
        </w:tc>
      </w:tr>
      <w:tr>
        <w:tc>
          <w:tcPr>
            <w:tcW w:type="dxa" w:w="4680"/>
            <w:tcMar>
              <w:top w:w="60" w:type="dxa"/>
              <w:bottom w:w="60" w:type="dxa"/>
              <w:left w:w="90" w:type="dxa"/>
              <w:right w:w="90" w:type="dxa"/>
            </w:tcMar>
            <w:shd w:val="clear" w:color="auto" w:fill="F9FAFC"/>
          </w:tcPr>
          <w:p>
            <w:r>
              <w:rPr>
                <w:sz w:val="16"/>
              </w:rPr>
              <w:t>9. Comprehensive Automated Verification</w:t>
            </w:r>
          </w:p>
        </w:tc>
        <w:tc>
          <w:tcPr>
            <w:tcW w:type="dxa" w:w="4680"/>
            <w:tcMar>
              <w:top w:w="60" w:type="dxa"/>
              <w:bottom w:w="60" w:type="dxa"/>
              <w:left w:w="90" w:type="dxa"/>
              <w:right w:w="90" w:type="dxa"/>
            </w:tcMar>
            <w:shd w:val="clear" w:color="auto" w:fill="F9FAFC"/>
          </w:tcPr>
          <w:p>
            <w:r>
              <w:rPr>
                <w:sz w:val="16"/>
              </w:rPr>
              <w:t>Execute an 84-test pytest suite validating rule boundaries, correlation invariants, and concurrent database savepoints.</w:t>
            </w:r>
          </w:p>
        </w:tc>
      </w:tr>
      <w:tr>
        <w:tc>
          <w:tcPr>
            <w:tcW w:type="dxa" w:w="4680"/>
            <w:tcMar>
              <w:top w:w="60" w:type="dxa"/>
              <w:bottom w:w="60" w:type="dxa"/>
              <w:left w:w="90" w:type="dxa"/>
              <w:right w:w="90" w:type="dxa"/>
            </w:tcMar>
          </w:tcPr>
          <w:p>
            <w:r>
              <w:rPr>
                <w:sz w:val="16"/>
              </w:rPr>
              <w:t>10. Empirical Benchmarking &amp; Reproducibility</w:t>
            </w:r>
          </w:p>
        </w:tc>
        <w:tc>
          <w:tcPr>
            <w:tcW w:type="dxa" w:w="4680"/>
            <w:tcMar>
              <w:top w:w="60" w:type="dxa"/>
              <w:bottom w:w="60" w:type="dxa"/>
              <w:left w:w="90" w:type="dxa"/>
              <w:right w:w="90" w:type="dxa"/>
            </w:tcMar>
          </w:tcPr>
          <w:p>
            <w:r>
              <w:rPr>
                <w:sz w:val="16"/>
              </w:rPr>
              <w:t>Benchmark rule engine lookup latency with hardware performance counters and execute a multi-stage live Docker attack harness.</w:t>
            </w:r>
          </w:p>
        </w:tc>
      </w:tr>
    </w:tbl>
    <w:p>
      <w:pPr>
        <w:spacing w:after="120"/>
      </w:pPr>
    </w:p>
    <w:p>
      <w:pPr>
        <w:spacing w:before="240" w:after="60"/>
      </w:pPr>
      <w:r>
        <w:rPr>
          <w:b/>
          <w:color w:val="1B365D"/>
          <w:sz w:val="25"/>
        </w:rPr>
        <w:t>V. Methodology</w:t>
      </w:r>
    </w:p>
    <w:p>
      <w:r>
        <w:t>DeceptionNet processes decoy interactions through a pipeline that ingests, normalizes, attributes, scores, and correlates events into actionable threat intelligence. The core methodology encompasses three algorithmic subsystems:</w:t>
      </w:r>
    </w:p>
    <w:p>
      <w:pPr>
        <w:spacing w:before="160" w:after="40"/>
      </w:pPr>
      <w:r>
        <w:rPr>
          <w:b/>
          <w:color w:val="2E5B88"/>
          <w:sz w:val="22"/>
        </w:rPr>
        <w:t>5.1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160" w:after="40"/>
      </w:pPr>
      <w:r>
        <w:rPr>
          <w:b/>
          <w:color w:val="2E5B88"/>
          <w:sz w:val="22"/>
        </w:rPr>
        <w:t>5.2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160" w:after="40"/>
      </w:pPr>
      <w:r>
        <w:rPr>
          <w:b/>
          <w:color w:val="2E5B88"/>
          <w:sz w:val="22"/>
        </w:rPr>
        <w:t>5.3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160" w:after="40"/>
      </w:pPr>
      <w:r>
        <w:rPr>
          <w:b/>
          <w:color w:val="2E5B88"/>
          <w:sz w:val="22"/>
        </w:rPr>
        <w:t>5.4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40" w:after="60"/>
      </w:pPr>
      <w:r>
        <w:rPr>
          <w:b/>
          <w:color w:val="1B365D"/>
          <w:sz w:val="25"/>
        </w:rPr>
        <w:t>VI. Implementation</w:t>
      </w:r>
    </w:p>
    <w:p>
      <w:r>
        <w:t>DeceptionNet is implemented as five containerized microservices orchestrated via Docker Compose:</w:t>
        <w:br/>
        <w:t>• Decoy Honeypot Subsystem (honeypot_net): Cowrie, Dionaea, Custom Decoy (ports 16379, 2525), and Attack-Target (Flask 3.1.3 on port 9090).</w:t>
        <w:br/>
        <w:t>• Asynchronous Telemetry Forwarders: Python forwarder daemons tailing decoy logs in real time and dispatching normalized HTTP POSTs.</w:t>
        <w:br/>
        <w:t>• Central Security Engine (core-api): FastAPI 0.109.2, SQLAlchemy 2.0.25, PostgreSQL 16 / SQLite 3, Uvicorn 0.27.1, OAuth2 JWT RBAC.</w:t>
        <w:br/>
        <w:t>• Decoupled AI Threat Intelligence Service (ai-service): Gemini/Claude summarizer, all-MiniLM-L6-v2 (384-dim), FAISS-CPU 1.8+.</w:t>
        <w:br/>
        <w:t>• Operator Web Dashboard (dashboard): React 18.2.0, Vite 5.1.0, Lucide-React 0.330.0, Recharts 2.15.4, Vanilla CSS.</w:t>
        <w:br/>
        <w:br/>
        <w:t>Pipeline Architecture Flow:</w:t>
        <w:br/>
        <w:t>Attacker Probe → Decoy Container (honeypot_net) → Shared Volume Log → Forwarder Daemon → JSON Normalization → Central Ingestion API (deceptionnet network) → Deterministic Rule Engine → Additive Scoring &amp; Correlation → PostgreSQL Storage → Live WebSocket Broadcast → Operator Dashboard &amp; Post-Capture AI Incident Report (PDF).</w:t>
      </w:r>
    </w:p>
    <w:p>
      <w:pPr>
        <w:spacing w:before="160" w:after="40"/>
      </w:pPr>
      <w:r>
        <w:rPr>
          <w:b/>
          <w:color w:val="2E5B88"/>
          <w:sz w:val="22"/>
        </w:rPr>
        <w:t>6.1 Sample System Output and Live Demo Trace</w:t>
      </w:r>
    </w:p>
    <w:p>
      <w:r>
        <w:t>The figures below present authentic operational outputs captured during live execution of the DeceptionNet active defense pipeline across the Docker Compose testbed. They demonstrate end-to-end execution: from adversary attack script initiation, through real-time telemetry streaming and threat scoring on the operator dashboard, to automated post-capture incident report synthesis.</w:t>
      </w:r>
    </w:p>
    <w:p>
      <w:pPr>
        <w:jc w:val="center"/>
      </w:pPr>
    </w:p>
    <w:p>
      <w:r>
        <w:drawing>
          <wp:inline xmlns:a="http://schemas.openxmlformats.org/drawingml/2006/main" xmlns:pic="http://schemas.openxmlformats.org/drawingml/2006/picture">
            <wp:extent cx="5303520" cy="3288182"/>
            <wp:docPr id="1" name="Picture 1"/>
            <wp:cNvGraphicFramePr>
              <a:graphicFrameLocks noChangeAspect="1"/>
            </wp:cNvGraphicFramePr>
            <a:graphic>
              <a:graphicData uri="http://schemas.openxmlformats.org/drawingml/2006/picture">
                <pic:pic>
                  <pic:nvPicPr>
                    <pic:cNvPr id="0" name="live_attack_terminal.png"/>
                    <pic:cNvPicPr/>
                  </pic:nvPicPr>
                  <pic:blipFill>
                    <a:blip r:embed="rId10"/>
                    <a:stretch>
                      <a:fillRect/>
                    </a:stretch>
                  </pic:blipFill>
                  <pic:spPr>
                    <a:xfrm>
                      <a:off x="0" y="0"/>
                      <a:ext cx="5303520" cy="3288182"/>
                    </a:xfrm>
                    <a:prstGeom prst="rect"/>
                  </pic:spPr>
                </pic:pic>
              </a:graphicData>
            </a:graphic>
          </wp:inline>
        </w:drawing>
      </w:r>
    </w:p>
    <w:p>
      <w:pPr>
        <w:spacing w:after="120"/>
        <w:jc w:val="center"/>
      </w:pPr>
      <w:r>
        <w:rPr>
          <w:i/>
          <w:sz w:val="17"/>
        </w:rPr>
        <w:t>Fig. 1: Live multi-stage attack simulation execution — Automated attack script (attacker/scripts/full-attack.sh) executing inside the containerized attacker environment (172.21.0.5), chaining SQLi authentication bypass, brute-force credential guessing, command injection, path traversal, reflected XSS, and web shell upload.</w:t>
      </w:r>
    </w:p>
    <w:p>
      <w:r>
        <w:t>Figure 1 illustrates the live execution of the multi-stage attack harness within the attacker container (172.21.0.5). The harness executes six sequential attack stages against the vulnerable web decoy (attack-target:9090). In Stage 1, an SQL injection payload (admin'--) bypasses authentication, and curl stores the resulting session cookie into a local cookie-jar. In Stage 2, five unauthenticated credential-guessing attempts are launched without cookies; each generates an independent session logged at severity 0.5. In Stages 3 through 6, post-exploitation payloads present the stored session cookie, enabling DeceptionNet to bind all subsequent exploitation events—including system reconnaissance (whoami, uname), credential dumping (/etc/passwd), file retrieval, reflected XSS, and PHP web shell upload—into a single persistent campaign session.</w:t>
      </w:r>
    </w:p>
    <w:p>
      <w:pPr>
        <w:jc w:val="center"/>
      </w:pPr>
    </w:p>
    <w:p>
      <w:r>
        <w:drawing>
          <wp:inline xmlns:a="http://schemas.openxmlformats.org/drawingml/2006/main" xmlns:pic="http://schemas.openxmlformats.org/drawingml/2006/picture">
            <wp:extent cx="5303520" cy="3044259"/>
            <wp:docPr id="2" name="Picture 2"/>
            <wp:cNvGraphicFramePr>
              <a:graphicFrameLocks noChangeAspect="1"/>
            </wp:cNvGraphicFramePr>
            <a:graphic>
              <a:graphicData uri="http://schemas.openxmlformats.org/drawingml/2006/picture">
                <pic:pic>
                  <pic:nvPicPr>
                    <pic:cNvPr id="0" name="dashboard_ui_active.png"/>
                    <pic:cNvPicPr/>
                  </pic:nvPicPr>
                  <pic:blipFill>
                    <a:blip r:embed="rId11"/>
                    <a:stretch>
                      <a:fillRect/>
                    </a:stretch>
                  </pic:blipFill>
                  <pic:spPr>
                    <a:xfrm>
                      <a:off x="0" y="0"/>
                      <a:ext cx="5303520" cy="3044259"/>
                    </a:xfrm>
                    <a:prstGeom prst="rect"/>
                  </pic:spPr>
                </pic:pic>
              </a:graphicData>
            </a:graphic>
          </wp:inline>
        </w:drawing>
      </w:r>
    </w:p>
    <w:p>
      <w:pPr>
        <w:spacing w:after="120"/>
        <w:jc w:val="center"/>
      </w:pPr>
      <w:r>
        <w:rPr>
          <w:i/>
          <w:sz w:val="17"/>
        </w:rPr>
        <w:t>Fig. 2: DeceptionNet live operator dashboard — Real-time telemetry interface showing active decoy session triage (left pane) and granular session inspection (right pane) for the multi-stage attack campaign (172.21.0.5). Displays monotonic additive threat severity (Critical tier: 26.0), decoupled AI threat assessment narrative, and chronological MITRE ATT&amp;CK technique timeline.</w:t>
      </w:r>
    </w:p>
    <w:p>
      <w:r>
        <w:t>Figure 2 displays the operator web dashboard streaming live telemetry over WebSockets. The left pane provides an indexed list of active sessions across monitored honeypots (Cowrie SSH, Dionaea, and web decoys), isolating low-severity brute-force attempts (0.5 score, tagged T1110) from high-impact campaigns. The right pane details the selected critical session (web-172.21.0.5-364304df), exhibiting its cumulative threat score (Critical 26.0), an on-demand incident report generator, and an AI threat assessment synthesized by Google Gemini via the decoupled ai-service. Below the assessment, the chronological event stream details executed attack payloads (SQL injection auth bypass, command injection probes, system information discovery) alongside deterministic rule-engine attribution badges (T1190, T1033, T1082, T1003.008), enabling SOC analysts to inspect adversary intent with sub-millisecond rule latency.</w:t>
      </w:r>
    </w:p>
    <w:p>
      <w:pPr>
        <w:jc w:val="center"/>
      </w:pPr>
    </w:p>
    <w:p>
      <w:r>
        <w:drawing>
          <wp:inline xmlns:a="http://schemas.openxmlformats.org/drawingml/2006/main" xmlns:pic="http://schemas.openxmlformats.org/drawingml/2006/picture">
            <wp:extent cx="5303520" cy="3288182"/>
            <wp:docPr id="3" name="Picture 3"/>
            <wp:cNvGraphicFramePr>
              <a:graphicFrameLocks noChangeAspect="1"/>
            </wp:cNvGraphicFramePr>
            <a:graphic>
              <a:graphicData uri="http://schemas.openxmlformats.org/drawingml/2006/picture">
                <pic:pic>
                  <pic:nvPicPr>
                    <pic:cNvPr id="0" name="incident_report_preview.png"/>
                    <pic:cNvPicPr/>
                  </pic:nvPicPr>
                  <pic:blipFill>
                    <a:blip r:embed="rId12"/>
                    <a:stretch>
                      <a:fillRect/>
                    </a:stretch>
                  </pic:blipFill>
                  <pic:spPr>
                    <a:xfrm>
                      <a:off x="0" y="0"/>
                      <a:ext cx="5303520" cy="3288182"/>
                    </a:xfrm>
                    <a:prstGeom prst="rect"/>
                  </pic:spPr>
                </pic:pic>
              </a:graphicData>
            </a:graphic>
          </wp:inline>
        </w:drawing>
      </w:r>
    </w:p>
    <w:p>
      <w:pPr>
        <w:spacing w:after="120"/>
        <w:jc w:val="center"/>
      </w:pPr>
      <w:r>
        <w:rPr>
          <w:i/>
          <w:sz w:val="17"/>
        </w:rPr>
        <w:t>Fig. 3: Decoupled AI threat intelligence and automated incident report — Generated post-capture incident summary compiling chronological session events, verified ATT&amp;CK techniques, and operator triage recommendations without exposing generative models to the live execution loop.</w:t>
      </w:r>
    </w:p>
    <w:p>
      <w:r>
        <w:t>Figure 3 demonstrates the output of the decoupled AI reporting service (ai-service). Once a session is concluded or flagged for analysis, an analyst can trigger automated PDF report generation. The AI engine synthesizes committed events into an executive incident summary, details session timelines and metadata, and tabulates verified ATT&amp;CK techniques. To guarantee fidelity, every semantic recommendation is passed through a lexical grounding filter, verifying that technique keywords (&gt; 3 characters) appear in raw event logs before inclusion in the final report.</w:t>
      </w:r>
    </w:p>
    <w:p>
      <w:pPr>
        <w:spacing w:before="240" w:after="60"/>
      </w:pPr>
      <w:r>
        <w:rPr>
          <w:b/>
          <w:color w:val="1B365D"/>
          <w:sz w:val="25"/>
        </w:rPr>
        <w:t>VII. Comparative Analysis</w:t>
      </w:r>
    </w:p>
    <w:p>
      <w:r>
        <w:t>Table 3 contrasts DeceptionNet's architectural properties against traditional standalone honeypots, integrated multi-honeypot distributions, and emerging interactive LLM honeypots:</w:t>
      </w:r>
    </w:p>
    <w:p>
      <w:pPr>
        <w:spacing w:after="60"/>
      </w:pPr>
      <w:r>
        <w:rPr>
          <w:b/>
        </w:rPr>
        <w:t>Table 3. Comparative Architectural Analysis across Deception Paradigms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B365D"/>
          </w:tcPr>
          <w:p>
            <w:r>
              <w:rPr>
                <w:b/>
                <w:color w:val="FFFFFF"/>
                <w:sz w:val="17"/>
              </w:rPr>
              <w:t>Capability / Dimension</w:t>
            </w:r>
          </w:p>
        </w:tc>
        <w:tc>
          <w:tcPr>
            <w:tcW w:type="dxa" w:w="1872"/>
            <w:shd w:val="clear" w:color="auto" w:fill="1B365D"/>
          </w:tcPr>
          <w:p>
            <w:r>
              <w:rPr>
                <w:b/>
                <w:color w:val="FFFFFF"/>
                <w:sz w:val="17"/>
              </w:rPr>
              <w:t>Standalone Honeypots</w:t>
            </w:r>
          </w:p>
        </w:tc>
        <w:tc>
          <w:tcPr>
            <w:tcW w:type="dxa" w:w="1872"/>
            <w:shd w:val="clear" w:color="auto" w:fill="1B365D"/>
          </w:tcPr>
          <w:p>
            <w:r>
              <w:rPr>
                <w:b/>
                <w:color w:val="FFFFFF"/>
                <w:sz w:val="17"/>
              </w:rPr>
              <w:t>T-Pot Distribution</w:t>
            </w:r>
          </w:p>
        </w:tc>
        <w:tc>
          <w:tcPr>
            <w:tcW w:type="dxa" w:w="1872"/>
            <w:shd w:val="clear" w:color="auto" w:fill="1B365D"/>
          </w:tcPr>
          <w:p>
            <w:r>
              <w:rPr>
                <w:b/>
                <w:color w:val="FFFFFF"/>
                <w:sz w:val="17"/>
              </w:rPr>
              <w:t>Interactive LLM Decoys</w:t>
            </w:r>
          </w:p>
        </w:tc>
        <w:tc>
          <w:tcPr>
            <w:tcW w:type="dxa" w:w="1872"/>
            <w:shd w:val="clear" w:color="auto" w:fill="1B365D"/>
          </w:tcPr>
          <w:p>
            <w:r>
              <w:rPr>
                <w:b/>
                <w:color w:val="FFFFFF"/>
                <w:sz w:val="17"/>
              </w:rPr>
              <w:t>DeceptionNet (Proposed)</w:t>
            </w:r>
          </w:p>
        </w:tc>
      </w:tr>
      <w:tr>
        <w:tc>
          <w:tcPr>
            <w:tcW w:type="dxa" w:w="1872"/>
            <w:tcMar>
              <w:top w:w="60" w:type="dxa"/>
              <w:bottom w:w="60" w:type="dxa"/>
              <w:left w:w="90" w:type="dxa"/>
              <w:right w:w="90" w:type="dxa"/>
            </w:tcMar>
            <w:shd w:val="clear" w:color="auto" w:fill="F9FAFC"/>
          </w:tcPr>
          <w:p>
            <w:r>
              <w:rPr>
                <w:sz w:val="16"/>
              </w:rPr>
              <w:t>Telemetry Unification</w:t>
            </w:r>
          </w:p>
        </w:tc>
        <w:tc>
          <w:tcPr>
            <w:tcW w:type="dxa" w:w="1872"/>
            <w:tcMar>
              <w:top w:w="60" w:type="dxa"/>
              <w:bottom w:w="60" w:type="dxa"/>
              <w:left w:w="90" w:type="dxa"/>
              <w:right w:w="90" w:type="dxa"/>
            </w:tcMar>
            <w:shd w:val="clear" w:color="auto" w:fill="F9FAFC"/>
          </w:tcPr>
          <w:p>
            <w:r>
              <w:rPr>
                <w:sz w:val="16"/>
              </w:rPr>
              <w:t>Isolated log files</w:t>
            </w:r>
          </w:p>
        </w:tc>
        <w:tc>
          <w:tcPr>
            <w:tcW w:type="dxa" w:w="1872"/>
            <w:tcMar>
              <w:top w:w="60" w:type="dxa"/>
              <w:bottom w:w="60" w:type="dxa"/>
              <w:left w:w="90" w:type="dxa"/>
              <w:right w:w="90" w:type="dxa"/>
            </w:tcMar>
            <w:shd w:val="clear" w:color="auto" w:fill="F9FAFC"/>
          </w:tcPr>
          <w:p>
            <w:r>
              <w:rPr>
                <w:sz w:val="16"/>
              </w:rPr>
              <w:t>Centralized ELK stack</w:t>
            </w:r>
          </w:p>
        </w:tc>
        <w:tc>
          <w:tcPr>
            <w:tcW w:type="dxa" w:w="1872"/>
            <w:tcMar>
              <w:top w:w="60" w:type="dxa"/>
              <w:bottom w:w="60" w:type="dxa"/>
              <w:left w:w="90" w:type="dxa"/>
              <w:right w:w="90" w:type="dxa"/>
            </w:tcMar>
            <w:shd w:val="clear" w:color="auto" w:fill="F9FAFC"/>
          </w:tcPr>
          <w:p>
            <w:r>
              <w:rPr>
                <w:sz w:val="16"/>
              </w:rPr>
              <w:t>Application terminal logs</w:t>
            </w:r>
          </w:p>
        </w:tc>
        <w:tc>
          <w:tcPr>
            <w:tcW w:type="dxa" w:w="1872"/>
            <w:tcMar>
              <w:top w:w="60" w:type="dxa"/>
              <w:bottom w:w="60" w:type="dxa"/>
              <w:left w:w="90" w:type="dxa"/>
              <w:right w:w="90" w:type="dxa"/>
            </w:tcMar>
            <w:shd w:val="clear" w:color="auto" w:fill="F9FAFC"/>
          </w:tcPr>
          <w:p>
            <w:r>
              <w:rPr>
                <w:sz w:val="16"/>
              </w:rPr>
              <w:t>Unified JSON forwarder pipeline</w:t>
            </w:r>
          </w:p>
        </w:tc>
      </w:tr>
      <w:tr>
        <w:tc>
          <w:tcPr>
            <w:tcW w:type="dxa" w:w="1872"/>
            <w:tcMar>
              <w:top w:w="60" w:type="dxa"/>
              <w:bottom w:w="60" w:type="dxa"/>
              <w:left w:w="90" w:type="dxa"/>
              <w:right w:w="90" w:type="dxa"/>
            </w:tcMar>
          </w:tcPr>
          <w:p>
            <w:r>
              <w:rPr>
                <w:sz w:val="16"/>
              </w:rPr>
              <w:t>MITRE ATT&amp;CK Attribution</w:t>
            </w:r>
          </w:p>
        </w:tc>
        <w:tc>
          <w:tcPr>
            <w:tcW w:type="dxa" w:w="1872"/>
            <w:tcMar>
              <w:top w:w="60" w:type="dxa"/>
              <w:bottom w:w="60" w:type="dxa"/>
              <w:left w:w="90" w:type="dxa"/>
              <w:right w:w="90" w:type="dxa"/>
            </w:tcMar>
          </w:tcPr>
          <w:p>
            <w:r>
              <w:rPr>
                <w:sz w:val="16"/>
              </w:rPr>
              <w:t>Manual analyst triage</w:t>
            </w:r>
          </w:p>
        </w:tc>
        <w:tc>
          <w:tcPr>
            <w:tcW w:type="dxa" w:w="1872"/>
            <w:tcMar>
              <w:top w:w="60" w:type="dxa"/>
              <w:bottom w:w="60" w:type="dxa"/>
              <w:left w:w="90" w:type="dxa"/>
              <w:right w:w="90" w:type="dxa"/>
            </w:tcMar>
          </w:tcPr>
          <w:p>
            <w:r>
              <w:rPr>
                <w:sz w:val="16"/>
              </w:rPr>
              <w:t>Generic search queries</w:t>
            </w:r>
          </w:p>
        </w:tc>
        <w:tc>
          <w:tcPr>
            <w:tcW w:type="dxa" w:w="1872"/>
            <w:tcMar>
              <w:top w:w="60" w:type="dxa"/>
              <w:bottom w:w="60" w:type="dxa"/>
              <w:left w:w="90" w:type="dxa"/>
              <w:right w:w="90" w:type="dxa"/>
            </w:tcMar>
          </w:tcPr>
          <w:p>
            <w:r>
              <w:rPr>
                <w:sz w:val="16"/>
              </w:rPr>
              <w:t>Non-deterministic LLM output</w:t>
            </w:r>
          </w:p>
        </w:tc>
        <w:tc>
          <w:tcPr>
            <w:tcW w:type="dxa" w:w="1872"/>
            <w:tcMar>
              <w:top w:w="60" w:type="dxa"/>
              <w:bottom w:w="60" w:type="dxa"/>
              <w:left w:w="90" w:type="dxa"/>
              <w:right w:w="90" w:type="dxa"/>
            </w:tcMar>
          </w:tcPr>
          <w:p>
            <w:r>
              <w:rPr>
                <w:sz w:val="16"/>
              </w:rPr>
              <w:t>Deterministic 34-rule hierarchy (22 techniques)</w:t>
            </w:r>
          </w:p>
        </w:tc>
      </w:tr>
      <w:tr>
        <w:tc>
          <w:tcPr>
            <w:tcW w:type="dxa" w:w="1872"/>
            <w:tcMar>
              <w:top w:w="60" w:type="dxa"/>
              <w:bottom w:w="60" w:type="dxa"/>
              <w:left w:w="90" w:type="dxa"/>
              <w:right w:w="90" w:type="dxa"/>
            </w:tcMar>
            <w:shd w:val="clear" w:color="auto" w:fill="F9FAFC"/>
          </w:tcPr>
          <w:p>
            <w:r>
              <w:rPr>
                <w:sz w:val="16"/>
              </w:rPr>
              <w:t>Attribution Latency</w:t>
            </w:r>
          </w:p>
        </w:tc>
        <w:tc>
          <w:tcPr>
            <w:tcW w:type="dxa" w:w="1872"/>
            <w:tcMar>
              <w:top w:w="60" w:type="dxa"/>
              <w:bottom w:w="60" w:type="dxa"/>
              <w:left w:w="90" w:type="dxa"/>
              <w:right w:w="90" w:type="dxa"/>
            </w:tcMar>
            <w:shd w:val="clear" w:color="auto" w:fill="F9FAFC"/>
          </w:tcPr>
          <w:p>
            <w:r>
              <w:rPr>
                <w:sz w:val="16"/>
              </w:rPr>
              <w:t>Hours / Days (post-hoc)</w:t>
            </w:r>
          </w:p>
        </w:tc>
        <w:tc>
          <w:tcPr>
            <w:tcW w:type="dxa" w:w="1872"/>
            <w:tcMar>
              <w:top w:w="60" w:type="dxa"/>
              <w:bottom w:w="60" w:type="dxa"/>
              <w:left w:w="90" w:type="dxa"/>
              <w:right w:w="90" w:type="dxa"/>
            </w:tcMar>
            <w:shd w:val="clear" w:color="auto" w:fill="F9FAFC"/>
          </w:tcPr>
          <w:p>
            <w:r>
              <w:rPr>
                <w:sz w:val="16"/>
              </w:rPr>
              <w:t>Seconds (ELK index)</w:t>
            </w:r>
          </w:p>
        </w:tc>
        <w:tc>
          <w:tcPr>
            <w:tcW w:type="dxa" w:w="1872"/>
            <w:tcMar>
              <w:top w:w="60" w:type="dxa"/>
              <w:bottom w:w="60" w:type="dxa"/>
              <w:left w:w="90" w:type="dxa"/>
              <w:right w:w="90" w:type="dxa"/>
            </w:tcMar>
            <w:shd w:val="clear" w:color="auto" w:fill="F9FAFC"/>
          </w:tcPr>
          <w:p>
            <w:r>
              <w:rPr>
                <w:sz w:val="16"/>
              </w:rPr>
              <w:t>1–5 seconds per command</w:t>
            </w:r>
          </w:p>
        </w:tc>
        <w:tc>
          <w:tcPr>
            <w:tcW w:type="dxa" w:w="1872"/>
            <w:tcMar>
              <w:top w:w="60" w:type="dxa"/>
              <w:bottom w:w="60" w:type="dxa"/>
              <w:left w:w="90" w:type="dxa"/>
              <w:right w:w="90" w:type="dxa"/>
            </w:tcMar>
            <w:shd w:val="clear" w:color="auto" w:fill="F9FAFC"/>
          </w:tcPr>
          <w:p>
            <w:r>
              <w:rPr>
                <w:sz w:val="16"/>
              </w:rPr>
              <w:t>Sub-millisecond (mean: 10.56 µs microbenchmark)</w:t>
            </w:r>
          </w:p>
        </w:tc>
      </w:tr>
      <w:tr>
        <w:tc>
          <w:tcPr>
            <w:tcW w:type="dxa" w:w="1872"/>
            <w:tcMar>
              <w:top w:w="60" w:type="dxa"/>
              <w:bottom w:w="60" w:type="dxa"/>
              <w:left w:w="90" w:type="dxa"/>
              <w:right w:w="90" w:type="dxa"/>
            </w:tcMar>
          </w:tcPr>
          <w:p>
            <w:r>
              <w:rPr>
                <w:sz w:val="16"/>
              </w:rPr>
              <w:t>Threat Severity Tiering</w:t>
            </w:r>
          </w:p>
        </w:tc>
        <w:tc>
          <w:tcPr>
            <w:tcW w:type="dxa" w:w="1872"/>
            <w:tcMar>
              <w:top w:w="60" w:type="dxa"/>
              <w:bottom w:w="60" w:type="dxa"/>
              <w:left w:w="90" w:type="dxa"/>
              <w:right w:w="90" w:type="dxa"/>
            </w:tcMar>
          </w:tcPr>
          <w:p>
            <w:r>
              <w:rPr>
                <w:sz w:val="16"/>
              </w:rPr>
              <w:t>None (binary alert)</w:t>
            </w:r>
          </w:p>
        </w:tc>
        <w:tc>
          <w:tcPr>
            <w:tcW w:type="dxa" w:w="1872"/>
            <w:tcMar>
              <w:top w:w="60" w:type="dxa"/>
              <w:bottom w:w="60" w:type="dxa"/>
              <w:left w:w="90" w:type="dxa"/>
              <w:right w:w="90" w:type="dxa"/>
            </w:tcMar>
          </w:tcPr>
          <w:p>
            <w:r>
              <w:rPr>
                <w:sz w:val="16"/>
              </w:rPr>
              <w:t>Static dashboard counts</w:t>
            </w:r>
          </w:p>
        </w:tc>
        <w:tc>
          <w:tcPr>
            <w:tcW w:type="dxa" w:w="1872"/>
            <w:tcMar>
              <w:top w:w="60" w:type="dxa"/>
              <w:bottom w:w="60" w:type="dxa"/>
              <w:left w:w="90" w:type="dxa"/>
              <w:right w:w="90" w:type="dxa"/>
            </w:tcMar>
          </w:tcPr>
          <w:p>
            <w:r>
              <w:rPr>
                <w:sz w:val="16"/>
              </w:rPr>
              <w:t>Subjective LLM assessment</w:t>
            </w:r>
          </w:p>
        </w:tc>
        <w:tc>
          <w:tcPr>
            <w:tcW w:type="dxa" w:w="1872"/>
            <w:tcMar>
              <w:top w:w="60" w:type="dxa"/>
              <w:bottom w:w="60" w:type="dxa"/>
              <w:left w:w="90" w:type="dxa"/>
              <w:right w:w="90" w:type="dxa"/>
            </w:tcMar>
          </w:tcPr>
          <w:p>
            <w:r>
              <w:rPr>
                <w:sz w:val="16"/>
              </w:rPr>
              <w:t>Monotonic additive scoring (4 operational tiers)</w:t>
            </w:r>
          </w:p>
        </w:tc>
      </w:tr>
      <w:tr>
        <w:tc>
          <w:tcPr>
            <w:tcW w:type="dxa" w:w="1872"/>
            <w:tcMar>
              <w:top w:w="60" w:type="dxa"/>
              <w:bottom w:w="60" w:type="dxa"/>
              <w:left w:w="90" w:type="dxa"/>
              <w:right w:w="90" w:type="dxa"/>
            </w:tcMar>
            <w:shd w:val="clear" w:color="auto" w:fill="F9FAFC"/>
          </w:tcPr>
          <w:p>
            <w:r>
              <w:rPr>
                <w:sz w:val="16"/>
              </w:rPr>
              <w:t>Prompt Injection Surface</w:t>
            </w:r>
          </w:p>
        </w:tc>
        <w:tc>
          <w:tcPr>
            <w:tcW w:type="dxa" w:w="1872"/>
            <w:tcMar>
              <w:top w:w="60" w:type="dxa"/>
              <w:bottom w:w="60" w:type="dxa"/>
              <w:left w:w="90" w:type="dxa"/>
              <w:right w:w="90" w:type="dxa"/>
            </w:tcMar>
            <w:shd w:val="clear" w:color="auto" w:fill="F9FAFC"/>
          </w:tcPr>
          <w:p>
            <w:r>
              <w:rPr>
                <w:sz w:val="16"/>
              </w:rPr>
              <w:t>None (daemon emulators)</w:t>
            </w:r>
          </w:p>
        </w:tc>
        <w:tc>
          <w:tcPr>
            <w:tcW w:type="dxa" w:w="1872"/>
            <w:tcMar>
              <w:top w:w="60" w:type="dxa"/>
              <w:bottom w:w="60" w:type="dxa"/>
              <w:left w:w="90" w:type="dxa"/>
              <w:right w:w="90" w:type="dxa"/>
            </w:tcMar>
            <w:shd w:val="clear" w:color="auto" w:fill="F9FAFC"/>
          </w:tcPr>
          <w:p>
            <w:r>
              <w:rPr>
                <w:sz w:val="16"/>
              </w:rPr>
              <w:t>None (daemon emulators)</w:t>
            </w:r>
          </w:p>
        </w:tc>
        <w:tc>
          <w:tcPr>
            <w:tcW w:type="dxa" w:w="1872"/>
            <w:tcMar>
              <w:top w:w="60" w:type="dxa"/>
              <w:bottom w:w="60" w:type="dxa"/>
              <w:left w:w="90" w:type="dxa"/>
              <w:right w:w="90" w:type="dxa"/>
            </w:tcMar>
            <w:shd w:val="clear" w:color="auto" w:fill="F9FAFC"/>
          </w:tcPr>
          <w:p>
            <w:r>
              <w:rPr>
                <w:sz w:val="16"/>
              </w:rPr>
              <w:t>Severe (direct terminal loop)</w:t>
            </w:r>
          </w:p>
        </w:tc>
        <w:tc>
          <w:tcPr>
            <w:tcW w:type="dxa" w:w="1872"/>
            <w:tcMar>
              <w:top w:w="60" w:type="dxa"/>
              <w:bottom w:w="60" w:type="dxa"/>
              <w:left w:w="90" w:type="dxa"/>
              <w:right w:w="90" w:type="dxa"/>
            </w:tcMar>
            <w:shd w:val="clear" w:color="auto" w:fill="F9FAFC"/>
          </w:tcPr>
          <w:p>
            <w:r>
              <w:rPr>
                <w:sz w:val="16"/>
              </w:rPr>
              <w:t>Eliminated from socket loop; residual in post-capture</w:t>
            </w:r>
          </w:p>
        </w:tc>
      </w:tr>
      <w:tr>
        <w:tc>
          <w:tcPr>
            <w:tcW w:type="dxa" w:w="1872"/>
            <w:tcMar>
              <w:top w:w="60" w:type="dxa"/>
              <w:bottom w:w="60" w:type="dxa"/>
              <w:left w:w="90" w:type="dxa"/>
              <w:right w:w="90" w:type="dxa"/>
            </w:tcMar>
          </w:tcPr>
          <w:p>
            <w:r>
              <w:rPr>
                <w:sz w:val="16"/>
              </w:rPr>
              <w:t>Automated Test Suite</w:t>
            </w:r>
          </w:p>
        </w:tc>
        <w:tc>
          <w:tcPr>
            <w:tcW w:type="dxa" w:w="1872"/>
            <w:tcMar>
              <w:top w:w="60" w:type="dxa"/>
              <w:bottom w:w="60" w:type="dxa"/>
              <w:left w:w="90" w:type="dxa"/>
              <w:right w:w="90" w:type="dxa"/>
            </w:tcMar>
          </w:tcPr>
          <w:p>
            <w:r>
              <w:rPr>
                <w:sz w:val="16"/>
              </w:rPr>
              <w:t>Rare / Manual</w:t>
            </w:r>
          </w:p>
        </w:tc>
        <w:tc>
          <w:tcPr>
            <w:tcW w:type="dxa" w:w="1872"/>
            <w:tcMar>
              <w:top w:w="60" w:type="dxa"/>
              <w:bottom w:w="60" w:type="dxa"/>
              <w:left w:w="90" w:type="dxa"/>
              <w:right w:w="90" w:type="dxa"/>
            </w:tcMar>
          </w:tcPr>
          <w:p>
            <w:r>
              <w:rPr>
                <w:sz w:val="16"/>
              </w:rPr>
              <w:t>Service healthchecks</w:t>
            </w:r>
          </w:p>
        </w:tc>
        <w:tc>
          <w:tcPr>
            <w:tcW w:type="dxa" w:w="1872"/>
            <w:tcMar>
              <w:top w:w="60" w:type="dxa"/>
              <w:bottom w:w="60" w:type="dxa"/>
              <w:left w:w="90" w:type="dxa"/>
              <w:right w:w="90" w:type="dxa"/>
            </w:tcMar>
          </w:tcPr>
          <w:p>
            <w:r>
              <w:rPr>
                <w:sz w:val="16"/>
              </w:rPr>
              <w:t>Empirical prompt benchmarks</w:t>
            </w:r>
          </w:p>
        </w:tc>
        <w:tc>
          <w:tcPr>
            <w:tcW w:type="dxa" w:w="1872"/>
            <w:tcMar>
              <w:top w:w="60" w:type="dxa"/>
              <w:bottom w:w="60" w:type="dxa"/>
              <w:left w:w="90" w:type="dxa"/>
              <w:right w:w="90" w:type="dxa"/>
            </w:tcMar>
          </w:tcPr>
          <w:p>
            <w:r>
              <w:rPr>
                <w:sz w:val="16"/>
              </w:rPr>
              <w:t>84-test automated pytest suite (100% pass)</w:t>
            </w:r>
          </w:p>
        </w:tc>
      </w:tr>
      <w:tr>
        <w:tc>
          <w:tcPr>
            <w:tcW w:type="dxa" w:w="1872"/>
            <w:tcMar>
              <w:top w:w="60" w:type="dxa"/>
              <w:bottom w:w="60" w:type="dxa"/>
              <w:left w:w="90" w:type="dxa"/>
              <w:right w:w="90" w:type="dxa"/>
            </w:tcMar>
            <w:shd w:val="clear" w:color="auto" w:fill="F9FAFC"/>
          </w:tcPr>
          <w:p>
            <w:r>
              <w:rPr>
                <w:sz w:val="16"/>
              </w:rPr>
              <w:t>Deployment Overhead</w:t>
            </w:r>
          </w:p>
        </w:tc>
        <w:tc>
          <w:tcPr>
            <w:tcW w:type="dxa" w:w="1872"/>
            <w:tcMar>
              <w:top w:w="60" w:type="dxa"/>
              <w:bottom w:w="60" w:type="dxa"/>
              <w:left w:w="90" w:type="dxa"/>
              <w:right w:w="90" w:type="dxa"/>
            </w:tcMar>
            <w:shd w:val="clear" w:color="auto" w:fill="F9FAFC"/>
          </w:tcPr>
          <w:p>
            <w:r>
              <w:rPr>
                <w:sz w:val="16"/>
              </w:rPr>
              <w:t>Low (single container)</w:t>
            </w:r>
          </w:p>
        </w:tc>
        <w:tc>
          <w:tcPr>
            <w:tcW w:type="dxa" w:w="1872"/>
            <w:tcMar>
              <w:top w:w="60" w:type="dxa"/>
              <w:bottom w:w="60" w:type="dxa"/>
              <w:left w:w="90" w:type="dxa"/>
              <w:right w:w="90" w:type="dxa"/>
            </w:tcMar>
            <w:shd w:val="clear" w:color="auto" w:fill="F9FAFC"/>
          </w:tcPr>
          <w:p>
            <w:r>
              <w:rPr>
                <w:sz w:val="16"/>
              </w:rPr>
              <w:t>Heavyweight (&gt;16 GB RAM)</w:t>
            </w:r>
          </w:p>
        </w:tc>
        <w:tc>
          <w:tcPr>
            <w:tcW w:type="dxa" w:w="1872"/>
            <w:tcMar>
              <w:top w:w="60" w:type="dxa"/>
              <w:bottom w:w="60" w:type="dxa"/>
              <w:left w:w="90" w:type="dxa"/>
              <w:right w:w="90" w:type="dxa"/>
            </w:tcMar>
            <w:shd w:val="clear" w:color="auto" w:fill="F9FAFC"/>
          </w:tcPr>
          <w:p>
            <w:r>
              <w:rPr>
                <w:sz w:val="16"/>
              </w:rPr>
              <w:t>Moderate (GPU / Cloud API)</w:t>
            </w:r>
          </w:p>
        </w:tc>
        <w:tc>
          <w:tcPr>
            <w:tcW w:type="dxa" w:w="1872"/>
            <w:tcMar>
              <w:top w:w="60" w:type="dxa"/>
              <w:bottom w:w="60" w:type="dxa"/>
              <w:left w:w="90" w:type="dxa"/>
              <w:right w:w="90" w:type="dxa"/>
            </w:tcMar>
            <w:shd w:val="clear" w:color="auto" w:fill="F9FAFC"/>
          </w:tcPr>
          <w:p>
            <w:r>
              <w:rPr>
                <w:sz w:val="16"/>
              </w:rPr>
              <w:t>Lightweight Docker microservices (~8 GB RAM)</w:t>
            </w:r>
          </w:p>
        </w:tc>
      </w:tr>
    </w:tbl>
    <w:p>
      <w:pPr>
        <w:spacing w:after="120"/>
      </w:pPr>
    </w:p>
    <w:p>
      <w:pPr>
        <w:spacing w:before="240" w:after="60"/>
      </w:pPr>
      <w:r>
        <w:rPr>
          <w:b/>
          <w:color w:val="1B365D"/>
          <w:sz w:val="25"/>
        </w:rPr>
        <w:t>VIII. Advantages of System</w:t>
      </w:r>
    </w:p>
    <w:p>
      <w:r>
        <w:rPr>
          <w:b/>
        </w:rPr>
        <w:t xml:space="preserve">• Deterministic Sub-Millisecond Speed: </w:t>
      </w:r>
      <w:r>
        <w:t>Executes ATT&amp;CK attribution via in-memory regex and dictionary lookups, achieving a mean evaluation latency of 10.56 µs (0.011 ms) without LLM latency penalties.</w:t>
        <w:br/>
      </w:r>
      <w:r>
        <w:rPr>
          <w:b/>
        </w:rPr>
        <w:t xml:space="preserve">• Decoupled AI Safety Architecture: </w:t>
      </w:r>
      <w:r>
        <w:t>Excludes generative models from live socket loops, neutralizing interactive terminal hijacking while leveraging LLMs safely for post-capture incident reports.</w:t>
        <w:br/>
      </w:r>
      <w:r>
        <w:rPr>
          <w:b/>
        </w:rPr>
        <w:t xml:space="preserve">• Cross-Protocol Multi-Honeypot Correlation: </w:t>
      </w:r>
      <w:r>
        <w:t>Fuses events across Cowrie, Dionaea, and custom decoys into unified multi-stage campaigns using a 5-minute temporal window while isolating concurrent brute-force sessions.</w:t>
        <w:br/>
      </w:r>
      <w:r>
        <w:rPr>
          <w:b/>
        </w:rPr>
        <w:t xml:space="preserve">• Monotonic Additive Scoring: </w:t>
      </w:r>
      <w:r>
        <w:t>Accumulates positive technique weights into monotonically non-decreasing session scores, guaranteeing permanent critical visibility for exploited decoys.</w:t>
        <w:br/>
      </w:r>
      <w:r>
        <w:rPr>
          <w:b/>
        </w:rPr>
        <w:t xml:space="preserve">• 100% Automated Test Verification: </w:t>
      </w:r>
      <w:r>
        <w:t>All architectural invariants are backed by an 84-test automated pytest suite executed with zero failures.</w:t>
        <w:br/>
      </w:r>
      <w:r>
        <w:rPr>
          <w:b/>
        </w:rPr>
        <w:t xml:space="preserve">• Lightweight Containerized Deployment: </w:t>
      </w:r>
      <w:r>
        <w:t>Orchestrated via standard Docker Compose, enabling rapid replication across educational testbeds and enterprise perimeters on standard commodity hardware.</w:t>
      </w:r>
    </w:p>
    <w:p>
      <w:pPr>
        <w:spacing w:before="240" w:after="60"/>
      </w:pPr>
      <w:r>
        <w:rPr>
          <w:b/>
          <w:color w:val="1B365D"/>
          <w:sz w:val="25"/>
        </w:rPr>
        <w:t>IX. Evaluation &amp; Results</w:t>
      </w:r>
    </w:p>
    <w:p>
      <w:r>
        <w:t>In accordance with strict empirical integrity, we evaluate DeceptionNet exclusively against executed unit-test suites, a live Docker network case study, and an in-memory rule table microbenchmark. We make no claims of field deployment, detection accuracy over wild attackers, or superior detection performance relative to external commercial tools.</w:t>
      </w:r>
    </w:p>
    <w:p>
      <w:pPr>
        <w:spacing w:before="160" w:after="40"/>
      </w:pPr>
      <w:r>
        <w:rPr>
          <w:b/>
          <w:color w:val="2E5B88"/>
          <w:sz w:val="22"/>
        </w:rPr>
        <w:t>9.1 Automated Unit-Test Suite</w:t>
      </w:r>
    </w:p>
    <w:p>
      <w:r>
        <w:t>Platform logic is verified by an 84-test automated pytest suite in core-api/tests. All 84 tests pass with zero failures. The per-file test breakdown is summarized in Table 4:</w:t>
      </w:r>
    </w:p>
    <w:p>
      <w:pPr>
        <w:spacing w:after="60"/>
      </w:pPr>
      <w:r>
        <w:rPr>
          <w:b/>
        </w:rPr>
        <w:t>Table 4. Unit-Test Verification Suite Breakdown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7"/>
              </w:rPr>
              <w:t>Test Module</w:t>
            </w:r>
          </w:p>
        </w:tc>
        <w:tc>
          <w:tcPr>
            <w:tcW w:type="dxa" w:w="3120"/>
            <w:shd w:val="clear" w:color="auto" w:fill="1B365D"/>
          </w:tcPr>
          <w:p>
            <w:r>
              <w:rPr>
                <w:b/>
                <w:color w:val="FFFFFF"/>
                <w:sz w:val="17"/>
              </w:rPr>
              <w:t>Focus / Verified Behavioral Invariants</w:t>
            </w:r>
          </w:p>
        </w:tc>
        <w:tc>
          <w:tcPr>
            <w:tcW w:type="dxa" w:w="3120"/>
            <w:shd w:val="clear" w:color="auto" w:fill="1B365D"/>
          </w:tcPr>
          <w:p>
            <w:r>
              <w:rPr>
                <w:b/>
                <w:color w:val="FFFFFF"/>
                <w:sz w:val="17"/>
              </w:rPr>
              <w:t>Pass Count</w:t>
            </w:r>
          </w:p>
        </w:tc>
      </w:tr>
      <w:tr>
        <w:tc>
          <w:tcPr>
            <w:tcW w:type="dxa" w:w="3120"/>
            <w:tcMar>
              <w:top w:w="60" w:type="dxa"/>
              <w:bottom w:w="60" w:type="dxa"/>
              <w:left w:w="90" w:type="dxa"/>
              <w:right w:w="90" w:type="dxa"/>
            </w:tcMar>
            <w:shd w:val="clear" w:color="auto" w:fill="F9FAFC"/>
          </w:tcPr>
          <w:p>
            <w:r>
              <w:rPr>
                <w:sz w:val="16"/>
              </w:rPr>
              <w:t>core-api/tests/test_mitre.py</w:t>
            </w:r>
          </w:p>
        </w:tc>
        <w:tc>
          <w:tcPr>
            <w:tcW w:type="dxa" w:w="3120"/>
            <w:tcMar>
              <w:top w:w="60" w:type="dxa"/>
              <w:bottom w:w="60" w:type="dxa"/>
              <w:left w:w="90" w:type="dxa"/>
              <w:right w:w="90" w:type="dxa"/>
            </w:tcMar>
            <w:shd w:val="clear" w:color="auto" w:fill="F9FAFC"/>
          </w:tcPr>
          <w:p>
            <w:r>
              <w:rPr>
                <w:sz w:val="16"/>
              </w:rPr>
              <w:t>Rule table dimensions, ATT&amp;CK ID formats, keyword word-boundaries, event-type precedence</w:t>
            </w:r>
          </w:p>
        </w:tc>
        <w:tc>
          <w:tcPr>
            <w:tcW w:type="dxa" w:w="3120"/>
            <w:tcMar>
              <w:top w:w="60" w:type="dxa"/>
              <w:bottom w:w="60" w:type="dxa"/>
              <w:left w:w="90" w:type="dxa"/>
              <w:right w:w="90" w:type="dxa"/>
            </w:tcMar>
            <w:shd w:val="clear" w:color="auto" w:fill="F9FAFC"/>
          </w:tcPr>
          <w:p>
            <w:r>
              <w:rPr>
                <w:sz w:val="16"/>
              </w:rPr>
              <w:t>61 passed</w:t>
            </w:r>
          </w:p>
        </w:tc>
      </w:tr>
      <w:tr>
        <w:tc>
          <w:tcPr>
            <w:tcW w:type="dxa" w:w="3120"/>
            <w:tcMar>
              <w:top w:w="60" w:type="dxa"/>
              <w:bottom w:w="60" w:type="dxa"/>
              <w:left w:w="90" w:type="dxa"/>
              <w:right w:w="90" w:type="dxa"/>
            </w:tcMar>
          </w:tcPr>
          <w:p>
            <w:r>
              <w:rPr>
                <w:sz w:val="16"/>
              </w:rPr>
              <w:t>core-api/tests/test_correlation.py</w:t>
            </w:r>
          </w:p>
        </w:tc>
        <w:tc>
          <w:tcPr>
            <w:tcW w:type="dxa" w:w="3120"/>
            <w:tcMar>
              <w:top w:w="60" w:type="dxa"/>
              <w:bottom w:w="60" w:type="dxa"/>
              <w:left w:w="90" w:type="dxa"/>
              <w:right w:w="90" w:type="dxa"/>
            </w:tcMar>
          </w:tcPr>
          <w:p>
            <w:r>
              <w:rPr>
                <w:sz w:val="16"/>
              </w:rPr>
              <w:t>Sliding-window bounds, cross-honeypot fusion, intra-honeypot isolation, concurrent savepoints</w:t>
            </w:r>
          </w:p>
        </w:tc>
        <w:tc>
          <w:tcPr>
            <w:tcW w:type="dxa" w:w="3120"/>
            <w:tcMar>
              <w:top w:w="60" w:type="dxa"/>
              <w:bottom w:w="60" w:type="dxa"/>
              <w:left w:w="90" w:type="dxa"/>
              <w:right w:w="90" w:type="dxa"/>
            </w:tcMar>
          </w:tcPr>
          <w:p>
            <w:r>
              <w:rPr>
                <w:sz w:val="16"/>
              </w:rPr>
              <w:t>12 passed</w:t>
            </w:r>
          </w:p>
        </w:tc>
      </w:tr>
      <w:tr>
        <w:tc>
          <w:tcPr>
            <w:tcW w:type="dxa" w:w="3120"/>
            <w:tcMar>
              <w:top w:w="60" w:type="dxa"/>
              <w:bottom w:w="60" w:type="dxa"/>
              <w:left w:w="90" w:type="dxa"/>
              <w:right w:w="90" w:type="dxa"/>
            </w:tcMar>
            <w:shd w:val="clear" w:color="auto" w:fill="F9FAFC"/>
          </w:tcPr>
          <w:p>
            <w:r>
              <w:rPr>
                <w:sz w:val="16"/>
              </w:rPr>
              <w:t>core-api/tests/test_scoring.py</w:t>
            </w:r>
          </w:p>
        </w:tc>
        <w:tc>
          <w:tcPr>
            <w:tcW w:type="dxa" w:w="3120"/>
            <w:tcMar>
              <w:top w:w="60" w:type="dxa"/>
              <w:bottom w:w="60" w:type="dxa"/>
              <w:left w:w="90" w:type="dxa"/>
              <w:right w:w="90" w:type="dxa"/>
            </w:tcMar>
            <w:shd w:val="clear" w:color="auto" w:fill="F9FAFC"/>
          </w:tcPr>
          <w:p>
            <w:r>
              <w:rPr>
                <w:sz w:val="16"/>
              </w:rPr>
              <w:t>Monotonic severity accumulation, noise filtering, incremental vs bulk score equivalence</w:t>
            </w:r>
          </w:p>
        </w:tc>
        <w:tc>
          <w:tcPr>
            <w:tcW w:type="dxa" w:w="3120"/>
            <w:tcMar>
              <w:top w:w="60" w:type="dxa"/>
              <w:bottom w:w="60" w:type="dxa"/>
              <w:left w:w="90" w:type="dxa"/>
              <w:right w:w="90" w:type="dxa"/>
            </w:tcMar>
            <w:shd w:val="clear" w:color="auto" w:fill="F9FAFC"/>
          </w:tcPr>
          <w:p>
            <w:r>
              <w:rPr>
                <w:sz w:val="16"/>
              </w:rPr>
              <w:t>9 passed</w:t>
            </w:r>
          </w:p>
        </w:tc>
      </w:tr>
      <w:tr>
        <w:tc>
          <w:tcPr>
            <w:tcW w:type="dxa" w:w="3120"/>
            <w:tcMar>
              <w:top w:w="60" w:type="dxa"/>
              <w:bottom w:w="60" w:type="dxa"/>
              <w:left w:w="90" w:type="dxa"/>
              <w:right w:w="90" w:type="dxa"/>
            </w:tcMar>
          </w:tcPr>
          <w:p>
            <w:r>
              <w:rPr>
                <w:sz w:val="16"/>
              </w:rPr>
              <w:t>core-api/tests/test_evaluation_benchmark.py</w:t>
            </w:r>
          </w:p>
        </w:tc>
        <w:tc>
          <w:tcPr>
            <w:tcW w:type="dxa" w:w="3120"/>
            <w:tcMar>
              <w:top w:w="60" w:type="dxa"/>
              <w:bottom w:w="60" w:type="dxa"/>
              <w:left w:w="90" w:type="dxa"/>
              <w:right w:w="90" w:type="dxa"/>
            </w:tcMar>
          </w:tcPr>
          <w:p>
            <w:r>
              <w:rPr>
                <w:sz w:val="16"/>
              </w:rPr>
              <w:t>Benchmark schema validation, representative attack sequence mapping, NAT isolation</w:t>
            </w:r>
          </w:p>
        </w:tc>
        <w:tc>
          <w:tcPr>
            <w:tcW w:type="dxa" w:w="3120"/>
            <w:tcMar>
              <w:top w:w="60" w:type="dxa"/>
              <w:bottom w:w="60" w:type="dxa"/>
              <w:left w:w="90" w:type="dxa"/>
              <w:right w:w="90" w:type="dxa"/>
            </w:tcMar>
          </w:tcPr>
          <w:p>
            <w:r>
              <w:rPr>
                <w:sz w:val="16"/>
              </w:rPr>
              <w:t>2 passed</w:t>
            </w:r>
          </w:p>
        </w:tc>
      </w:tr>
      <w:tr>
        <w:tc>
          <w:tcPr>
            <w:tcW w:type="dxa" w:w="3120"/>
            <w:tcMar>
              <w:top w:w="60" w:type="dxa"/>
              <w:bottom w:w="60" w:type="dxa"/>
              <w:left w:w="90" w:type="dxa"/>
              <w:right w:w="90" w:type="dxa"/>
            </w:tcMar>
            <w:shd w:val="clear" w:color="auto" w:fill="E8EEF5"/>
          </w:tcPr>
          <w:p>
            <w:r>
              <w:rPr>
                <w:b/>
                <w:sz w:val="16"/>
              </w:rPr>
              <w:t>Total Verification Suite</w:t>
            </w:r>
          </w:p>
        </w:tc>
        <w:tc>
          <w:tcPr>
            <w:tcW w:type="dxa" w:w="3120"/>
            <w:tcMar>
              <w:top w:w="60" w:type="dxa"/>
              <w:bottom w:w="60" w:type="dxa"/>
              <w:left w:w="90" w:type="dxa"/>
              <w:right w:w="90" w:type="dxa"/>
            </w:tcMar>
            <w:shd w:val="clear" w:color="auto" w:fill="E8EEF5"/>
          </w:tcPr>
          <w:p>
            <w:r>
              <w:rPr>
                <w:b/>
                <w:sz w:val="16"/>
              </w:rPr>
              <w:t>Comprehensive verification across all core-api platform subsystems</w:t>
            </w:r>
          </w:p>
        </w:tc>
        <w:tc>
          <w:tcPr>
            <w:tcW w:type="dxa" w:w="3120"/>
            <w:tcMar>
              <w:top w:w="60" w:type="dxa"/>
              <w:bottom w:w="60" w:type="dxa"/>
              <w:left w:w="90" w:type="dxa"/>
              <w:right w:w="90" w:type="dxa"/>
            </w:tcMar>
            <w:shd w:val="clear" w:color="auto" w:fill="E8EEF5"/>
          </w:tcPr>
          <w:p>
            <w:r>
              <w:rPr>
                <w:b/>
                <w:sz w:val="16"/>
              </w:rPr>
              <w:t>84 passed (100%)</w:t>
            </w:r>
          </w:p>
        </w:tc>
      </w:tr>
    </w:tbl>
    <w:p>
      <w:pPr>
        <w:spacing w:after="120"/>
      </w:pPr>
    </w:p>
    <w:p>
      <w:pPr>
        <w:spacing w:before="160" w:after="40"/>
      </w:pPr>
      <w:r>
        <w:rPr>
          <w:b/>
          <w:color w:val="2E5B88"/>
          <w:sz w:val="22"/>
        </w:rPr>
        <w:t>9.2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 and documented in the supplementary Claim Ledger (docs/CLAIM_LEDGER.md).</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5.</w:t>
      </w:r>
    </w:p>
    <w:p>
      <w:pPr>
        <w:spacing w:after="60"/>
      </w:pPr>
      <w:r>
        <w:rPr>
          <w:b/>
        </w:rPr>
        <w:t>Table 5. Step-by-Step Live Attack Campaign Progression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7"/>
              </w:rPr>
              <w:t>Step</w:t>
            </w:r>
          </w:p>
        </w:tc>
        <w:tc>
          <w:tcPr>
            <w:tcW w:type="dxa" w:w="1337"/>
            <w:shd w:val="clear" w:color="auto" w:fill="1B365D"/>
          </w:tcPr>
          <w:p>
            <w:r>
              <w:rPr>
                <w:b/>
                <w:color w:val="FFFFFF"/>
                <w:sz w:val="17"/>
              </w:rPr>
              <w:t>Stage</w:t>
            </w:r>
          </w:p>
        </w:tc>
        <w:tc>
          <w:tcPr>
            <w:tcW w:type="dxa" w:w="1337"/>
            <w:shd w:val="clear" w:color="auto" w:fill="1B365D"/>
          </w:tcPr>
          <w:p>
            <w:r>
              <w:rPr>
                <w:b/>
                <w:color w:val="FFFFFF"/>
                <w:sz w:val="17"/>
              </w:rPr>
              <w:t>Payload / Action</w:t>
            </w:r>
          </w:p>
        </w:tc>
        <w:tc>
          <w:tcPr>
            <w:tcW w:type="dxa" w:w="1337"/>
            <w:shd w:val="clear" w:color="auto" w:fill="1B365D"/>
          </w:tcPr>
          <w:p>
            <w:r>
              <w:rPr>
                <w:b/>
                <w:color w:val="FFFFFF"/>
                <w:sz w:val="17"/>
              </w:rPr>
              <w:t>Event</w:t>
            </w:r>
          </w:p>
        </w:tc>
        <w:tc>
          <w:tcPr>
            <w:tcW w:type="dxa" w:w="1337"/>
            <w:shd w:val="clear" w:color="auto" w:fill="1B365D"/>
          </w:tcPr>
          <w:p>
            <w:r>
              <w:rPr>
                <w:b/>
                <w:color w:val="FFFFFF"/>
                <w:sz w:val="17"/>
              </w:rPr>
              <w:t>ATT&amp;CK Technique</w:t>
            </w:r>
          </w:p>
        </w:tc>
        <w:tc>
          <w:tcPr>
            <w:tcW w:type="dxa" w:w="1337"/>
            <w:shd w:val="clear" w:color="auto" w:fill="1B365D"/>
          </w:tcPr>
          <w:p>
            <w:r>
              <w:rPr>
                <w:b/>
                <w:color w:val="FFFFFF"/>
                <w:sz w:val="17"/>
              </w:rPr>
              <w:t>Weight</w:t>
            </w:r>
          </w:p>
        </w:tc>
        <w:tc>
          <w:tcPr>
            <w:tcW w:type="dxa" w:w="1337"/>
            <w:shd w:val="clear" w:color="auto" w:fill="1B365D"/>
          </w:tcPr>
          <w:p>
            <w:r>
              <w:rPr>
                <w:b/>
                <w:color w:val="FFFFFF"/>
                <w:sz w:val="17"/>
              </w:rPr>
              <w:t>Score</w:t>
            </w:r>
          </w:p>
        </w:tc>
      </w:tr>
      <w:tr>
        <w:tc>
          <w:tcPr>
            <w:tcW w:type="dxa" w:w="1337"/>
            <w:tcMar>
              <w:top w:w="60" w:type="dxa"/>
              <w:bottom w:w="60" w:type="dxa"/>
              <w:left w:w="80" w:type="dxa"/>
              <w:right w:w="80" w:type="dxa"/>
            </w:tcMar>
            <w:shd w:val="clear" w:color="auto" w:fill="F9FAFC"/>
          </w:tcPr>
          <w:p>
            <w:r>
              <w:rPr>
                <w:sz w:val="16"/>
              </w:rPr>
              <w:t>1</w:t>
            </w:r>
          </w:p>
        </w:tc>
        <w:tc>
          <w:tcPr>
            <w:tcW w:type="dxa" w:w="1337"/>
            <w:tcMar>
              <w:top w:w="60" w:type="dxa"/>
              <w:bottom w:w="60" w:type="dxa"/>
              <w:left w:w="80" w:type="dxa"/>
              <w:right w:w="80" w:type="dxa"/>
            </w:tcMar>
            <w:shd w:val="clear" w:color="auto" w:fill="F9FAFC"/>
          </w:tcPr>
          <w:p>
            <w:r>
              <w:rPr>
                <w:sz w:val="16"/>
              </w:rPr>
              <w:t>1. SQLi Login Bypass</w:t>
            </w:r>
          </w:p>
        </w:tc>
        <w:tc>
          <w:tcPr>
            <w:tcW w:type="dxa" w:w="1337"/>
            <w:tcMar>
              <w:top w:w="60" w:type="dxa"/>
              <w:bottom w:w="60" w:type="dxa"/>
              <w:left w:w="80" w:type="dxa"/>
              <w:right w:w="80" w:type="dxa"/>
            </w:tcMar>
            <w:shd w:val="clear" w:color="auto" w:fill="F9FAFC"/>
          </w:tcPr>
          <w:p>
            <w:r>
              <w:rPr>
                <w:sz w:val="16"/>
              </w:rPr>
              <w:t>admin'-- on /login</w:t>
            </w:r>
          </w:p>
        </w:tc>
        <w:tc>
          <w:tcPr>
            <w:tcW w:type="dxa" w:w="1337"/>
            <w:tcMar>
              <w:top w:w="60" w:type="dxa"/>
              <w:bottom w:w="60" w:type="dxa"/>
              <w:left w:w="80" w:type="dxa"/>
              <w:right w:w="80" w:type="dxa"/>
            </w:tcMar>
            <w:shd w:val="clear" w:color="auto" w:fill="F9FAFC"/>
          </w:tcPr>
          <w:p>
            <w:r>
              <w:rPr>
                <w:sz w:val="16"/>
              </w:rPr>
              <w:t>sqli</w:t>
            </w:r>
          </w:p>
        </w:tc>
        <w:tc>
          <w:tcPr>
            <w:tcW w:type="dxa" w:w="1337"/>
            <w:tcMar>
              <w:top w:w="60" w:type="dxa"/>
              <w:bottom w:w="60" w:type="dxa"/>
              <w:left w:w="80" w:type="dxa"/>
              <w:right w:w="80" w:type="dxa"/>
            </w:tcMar>
            <w:shd w:val="clear" w:color="auto" w:fill="F9FAFC"/>
          </w:tcPr>
          <w:p>
            <w:r>
              <w:rPr>
                <w:sz w:val="16"/>
              </w:rPr>
              <w:t>T1190 Exploit Public-Facing App</w:t>
            </w:r>
          </w:p>
        </w:tc>
        <w:tc>
          <w:tcPr>
            <w:tcW w:type="dxa" w:w="1337"/>
            <w:tcMar>
              <w:top w:w="60" w:type="dxa"/>
              <w:bottom w:w="60" w:type="dxa"/>
              <w:left w:w="80" w:type="dxa"/>
              <w:right w:w="80" w:type="dxa"/>
            </w:tcMar>
            <w:shd w:val="clear" w:color="auto" w:fill="F9FAFC"/>
          </w:tcPr>
          <w:p>
            <w:r>
              <w:rPr>
                <w:sz w:val="16"/>
              </w:rPr>
              <w:t>4.0</w:t>
            </w:r>
          </w:p>
        </w:tc>
        <w:tc>
          <w:tcPr>
            <w:tcW w:type="dxa" w:w="1337"/>
            <w:tcMar>
              <w:top w:w="60" w:type="dxa"/>
              <w:bottom w:w="60" w:type="dxa"/>
              <w:left w:w="80" w:type="dxa"/>
              <w:right w:w="80" w:type="dxa"/>
            </w:tcMar>
            <w:shd w:val="clear" w:color="auto" w:fill="F9FAFC"/>
          </w:tcPr>
          <w:p>
            <w:r>
              <w:rPr>
                <w:sz w:val="16"/>
              </w:rPr>
              <w:t>4.0</w:t>
            </w:r>
          </w:p>
        </w:tc>
      </w:tr>
      <w:tr>
        <w:tc>
          <w:tcPr>
            <w:tcW w:type="dxa" w:w="1337"/>
            <w:tcMar>
              <w:top w:w="60" w:type="dxa"/>
              <w:bottom w:w="60" w:type="dxa"/>
              <w:left w:w="80" w:type="dxa"/>
              <w:right w:w="80" w:type="dxa"/>
            </w:tcMar>
          </w:tcPr>
          <w:p>
            <w:r>
              <w:rPr>
                <w:sz w:val="16"/>
              </w:rPr>
              <w:t>2</w:t>
            </w:r>
          </w:p>
        </w:tc>
        <w:tc>
          <w:tcPr>
            <w:tcW w:type="dxa" w:w="1337"/>
            <w:tcMar>
              <w:top w:w="60" w:type="dxa"/>
              <w:bottom w:w="60" w:type="dxa"/>
              <w:left w:w="80" w:type="dxa"/>
              <w:right w:w="80" w:type="dxa"/>
            </w:tcMar>
          </w:tcPr>
          <w:p>
            <w:r>
              <w:rPr>
                <w:sz w:val="16"/>
              </w:rPr>
              <w:t>3. Command Injection</w:t>
            </w:r>
          </w:p>
        </w:tc>
        <w:tc>
          <w:tcPr>
            <w:tcW w:type="dxa" w:w="1337"/>
            <w:tcMar>
              <w:top w:w="60" w:type="dxa"/>
              <w:bottom w:w="60" w:type="dxa"/>
              <w:left w:w="80" w:type="dxa"/>
              <w:right w:w="80" w:type="dxa"/>
            </w:tcMar>
          </w:tcPr>
          <w:p>
            <w:r>
              <w:rPr>
                <w:sz w:val="16"/>
              </w:rPr>
              <w:t>ping -c 1 127.0.0.1; whoami</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T1033 System Owner/User Discovery</w:t>
            </w:r>
          </w:p>
        </w:tc>
        <w:tc>
          <w:tcPr>
            <w:tcW w:type="dxa" w:w="1337"/>
            <w:tcMar>
              <w:top w:w="60" w:type="dxa"/>
              <w:bottom w:w="60" w:type="dxa"/>
              <w:left w:w="80" w:type="dxa"/>
              <w:right w:w="80" w:type="dxa"/>
            </w:tcMar>
          </w:tcPr>
          <w:p>
            <w:r>
              <w:rPr>
                <w:sz w:val="16"/>
              </w:rPr>
              <w:t>1.0</w:t>
            </w:r>
          </w:p>
        </w:tc>
        <w:tc>
          <w:tcPr>
            <w:tcW w:type="dxa" w:w="1337"/>
            <w:tcMar>
              <w:top w:w="60" w:type="dxa"/>
              <w:bottom w:w="60" w:type="dxa"/>
              <w:left w:w="80" w:type="dxa"/>
              <w:right w:w="80" w:type="dxa"/>
            </w:tcMar>
          </w:tcPr>
          <w:p>
            <w:r>
              <w:rPr>
                <w:sz w:val="16"/>
              </w:rPr>
              <w:t>5.0</w:t>
            </w:r>
          </w:p>
        </w:tc>
      </w:tr>
      <w:tr>
        <w:tc>
          <w:tcPr>
            <w:tcW w:type="dxa" w:w="1337"/>
            <w:tcMar>
              <w:top w:w="60" w:type="dxa"/>
              <w:bottom w:w="60" w:type="dxa"/>
              <w:left w:w="80" w:type="dxa"/>
              <w:right w:w="80" w:type="dxa"/>
            </w:tcMar>
            <w:shd w:val="clear" w:color="auto" w:fill="F9FAFC"/>
          </w:tcPr>
          <w:p>
            <w:r>
              <w:rPr>
                <w:sz w:val="16"/>
              </w:rPr>
              <w:t>3</w:t>
            </w:r>
          </w:p>
        </w:tc>
        <w:tc>
          <w:tcPr>
            <w:tcW w:type="dxa" w:w="1337"/>
            <w:tcMar>
              <w:top w:w="60" w:type="dxa"/>
              <w:bottom w:w="60" w:type="dxa"/>
              <w:left w:w="80" w:type="dxa"/>
              <w:right w:w="80" w:type="dxa"/>
            </w:tcMar>
            <w:shd w:val="clear" w:color="auto" w:fill="F9FAFC"/>
          </w:tcPr>
          <w:p>
            <w:r>
              <w:rPr>
                <w:sz w:val="16"/>
              </w:rPr>
              <w:t>3. Command Injection</w:t>
            </w:r>
          </w:p>
        </w:tc>
        <w:tc>
          <w:tcPr>
            <w:tcW w:type="dxa" w:w="1337"/>
            <w:tcMar>
              <w:top w:w="60" w:type="dxa"/>
              <w:bottom w:w="60" w:type="dxa"/>
              <w:left w:w="80" w:type="dxa"/>
              <w:right w:w="80" w:type="dxa"/>
            </w:tcMar>
            <w:shd w:val="clear" w:color="auto" w:fill="F9FAFC"/>
          </w:tcPr>
          <w:p>
            <w:r>
              <w:rPr>
                <w:sz w:val="16"/>
              </w:rPr>
              <w:t>ping -c 1 127.0.0.1; uname -a</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T1082 System Information Discovery</w:t>
            </w:r>
          </w:p>
        </w:tc>
        <w:tc>
          <w:tcPr>
            <w:tcW w:type="dxa" w:w="1337"/>
            <w:tcMar>
              <w:top w:w="60" w:type="dxa"/>
              <w:bottom w:w="60" w:type="dxa"/>
              <w:left w:w="80" w:type="dxa"/>
              <w:right w:w="80" w:type="dxa"/>
            </w:tcMar>
            <w:shd w:val="clear" w:color="auto" w:fill="F9FAFC"/>
          </w:tcPr>
          <w:p>
            <w:r>
              <w:rPr>
                <w:sz w:val="16"/>
              </w:rPr>
              <w:t>1.0</w:t>
            </w:r>
          </w:p>
        </w:tc>
        <w:tc>
          <w:tcPr>
            <w:tcW w:type="dxa" w:w="1337"/>
            <w:tcMar>
              <w:top w:w="60" w:type="dxa"/>
              <w:bottom w:w="60" w:type="dxa"/>
              <w:left w:w="80" w:type="dxa"/>
              <w:right w:w="80" w:type="dxa"/>
            </w:tcMar>
            <w:shd w:val="clear" w:color="auto" w:fill="F9FAFC"/>
          </w:tcPr>
          <w:p>
            <w:r>
              <w:rPr>
                <w:sz w:val="16"/>
              </w:rPr>
              <w:t>6.0</w:t>
            </w:r>
          </w:p>
        </w:tc>
      </w:tr>
      <w:tr>
        <w:tc>
          <w:tcPr>
            <w:tcW w:type="dxa" w:w="1337"/>
            <w:tcMar>
              <w:top w:w="60" w:type="dxa"/>
              <w:bottom w:w="60" w:type="dxa"/>
              <w:left w:w="80" w:type="dxa"/>
              <w:right w:w="80" w:type="dxa"/>
            </w:tcMar>
          </w:tcPr>
          <w:p>
            <w:r>
              <w:rPr>
                <w:sz w:val="16"/>
              </w:rPr>
              <w:t>4</w:t>
            </w:r>
          </w:p>
        </w:tc>
        <w:tc>
          <w:tcPr>
            <w:tcW w:type="dxa" w:w="1337"/>
            <w:tcMar>
              <w:top w:w="60" w:type="dxa"/>
              <w:bottom w:w="60" w:type="dxa"/>
              <w:left w:w="80" w:type="dxa"/>
              <w:right w:w="80" w:type="dxa"/>
            </w:tcMar>
          </w:tcPr>
          <w:p>
            <w:r>
              <w:rPr>
                <w:sz w:val="16"/>
              </w:rPr>
              <w:t>3. Command Injection</w:t>
            </w:r>
          </w:p>
        </w:tc>
        <w:tc>
          <w:tcPr>
            <w:tcW w:type="dxa" w:w="1337"/>
            <w:tcMar>
              <w:top w:w="60" w:type="dxa"/>
              <w:bottom w:w="60" w:type="dxa"/>
              <w:left w:w="80" w:type="dxa"/>
              <w:right w:w="80" w:type="dxa"/>
            </w:tcMar>
          </w:tcPr>
          <w:p>
            <w:r>
              <w:rPr>
                <w:sz w:val="16"/>
              </w:rPr>
              <w:t>ping -c 1 127.0.0.1; cat /etc/passwd</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T1003.008 OS Credential Dumping</w:t>
            </w:r>
          </w:p>
        </w:tc>
        <w:tc>
          <w:tcPr>
            <w:tcW w:type="dxa" w:w="1337"/>
            <w:tcMar>
              <w:top w:w="60" w:type="dxa"/>
              <w:bottom w:w="60" w:type="dxa"/>
              <w:left w:w="80" w:type="dxa"/>
              <w:right w:w="80" w:type="dxa"/>
            </w:tcMar>
          </w:tcPr>
          <w:p>
            <w:r>
              <w:rPr>
                <w:sz w:val="16"/>
              </w:rPr>
              <w:t>5.0</w:t>
            </w:r>
          </w:p>
        </w:tc>
        <w:tc>
          <w:tcPr>
            <w:tcW w:type="dxa" w:w="1337"/>
            <w:tcMar>
              <w:top w:w="60" w:type="dxa"/>
              <w:bottom w:w="60" w:type="dxa"/>
              <w:left w:w="80" w:type="dxa"/>
              <w:right w:w="80" w:type="dxa"/>
            </w:tcMar>
          </w:tcPr>
          <w:p>
            <w:r>
              <w:rPr>
                <w:sz w:val="16"/>
              </w:rPr>
              <w:t>11.0</w:t>
            </w:r>
          </w:p>
        </w:tc>
      </w:tr>
      <w:tr>
        <w:tc>
          <w:tcPr>
            <w:tcW w:type="dxa" w:w="1337"/>
            <w:tcMar>
              <w:top w:w="60" w:type="dxa"/>
              <w:bottom w:w="60" w:type="dxa"/>
              <w:left w:w="80" w:type="dxa"/>
              <w:right w:w="80" w:type="dxa"/>
            </w:tcMar>
            <w:shd w:val="clear" w:color="auto" w:fill="F9FAFC"/>
          </w:tcPr>
          <w:p>
            <w:r>
              <w:rPr>
                <w:sz w:val="16"/>
              </w:rPr>
              <w:t>5</w:t>
            </w:r>
          </w:p>
        </w:tc>
        <w:tc>
          <w:tcPr>
            <w:tcW w:type="dxa" w:w="1337"/>
            <w:tcMar>
              <w:top w:w="60" w:type="dxa"/>
              <w:bottom w:w="60" w:type="dxa"/>
              <w:left w:w="80" w:type="dxa"/>
              <w:right w:w="80" w:type="dxa"/>
            </w:tcMar>
            <w:shd w:val="clear" w:color="auto" w:fill="F9FAFC"/>
          </w:tcPr>
          <w:p>
            <w:r>
              <w:rPr>
                <w:sz w:val="16"/>
              </w:rPr>
              <w:t>3. Command Injection</w:t>
            </w:r>
          </w:p>
        </w:tc>
        <w:tc>
          <w:tcPr>
            <w:tcW w:type="dxa" w:w="1337"/>
            <w:tcMar>
              <w:top w:w="60" w:type="dxa"/>
              <w:bottom w:w="60" w:type="dxa"/>
              <w:left w:w="80" w:type="dxa"/>
              <w:right w:w="80" w:type="dxa"/>
            </w:tcMar>
            <w:shd w:val="clear" w:color="auto" w:fill="F9FAFC"/>
          </w:tcPr>
          <w:p>
            <w:r>
              <w:rPr>
                <w:sz w:val="16"/>
              </w:rPr>
              <w:t>ping ...; wget http://evil.example/malware.sh</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T1105 Ingress Tool Transfer</w:t>
            </w:r>
          </w:p>
        </w:tc>
        <w:tc>
          <w:tcPr>
            <w:tcW w:type="dxa" w:w="1337"/>
            <w:tcMar>
              <w:top w:w="60" w:type="dxa"/>
              <w:bottom w:w="60" w:type="dxa"/>
              <w:left w:w="80" w:type="dxa"/>
              <w:right w:w="80" w:type="dxa"/>
            </w:tcMar>
            <w:shd w:val="clear" w:color="auto" w:fill="F9FAFC"/>
          </w:tcPr>
          <w:p>
            <w:r>
              <w:rPr>
                <w:sz w:val="16"/>
              </w:rPr>
              <w:t>3.0</w:t>
            </w:r>
          </w:p>
        </w:tc>
        <w:tc>
          <w:tcPr>
            <w:tcW w:type="dxa" w:w="1337"/>
            <w:tcMar>
              <w:top w:w="60" w:type="dxa"/>
              <w:bottom w:w="60" w:type="dxa"/>
              <w:left w:w="80" w:type="dxa"/>
              <w:right w:w="80" w:type="dxa"/>
            </w:tcMar>
            <w:shd w:val="clear" w:color="auto" w:fill="F9FAFC"/>
          </w:tcPr>
          <w:p>
            <w:r>
              <w:rPr>
                <w:sz w:val="16"/>
              </w:rPr>
              <w:t>14.0</w:t>
            </w:r>
          </w:p>
        </w:tc>
      </w:tr>
      <w:tr>
        <w:tc>
          <w:tcPr>
            <w:tcW w:type="dxa" w:w="1337"/>
            <w:tcMar>
              <w:top w:w="60" w:type="dxa"/>
              <w:bottom w:w="60" w:type="dxa"/>
              <w:left w:w="80" w:type="dxa"/>
              <w:right w:w="80" w:type="dxa"/>
            </w:tcMar>
          </w:tcPr>
          <w:p>
            <w:r>
              <w:rPr>
                <w:sz w:val="16"/>
              </w:rPr>
              <w:t>6</w:t>
            </w:r>
          </w:p>
        </w:tc>
        <w:tc>
          <w:tcPr>
            <w:tcW w:type="dxa" w:w="1337"/>
            <w:tcMar>
              <w:top w:w="60" w:type="dxa"/>
              <w:bottom w:w="60" w:type="dxa"/>
              <w:left w:w="80" w:type="dxa"/>
              <w:right w:w="80" w:type="dxa"/>
            </w:tcMar>
          </w:tcPr>
          <w:p>
            <w:r>
              <w:rPr>
                <w:sz w:val="16"/>
              </w:rPr>
              <w:t>4. Path Traversal</w:t>
            </w:r>
          </w:p>
        </w:tc>
        <w:tc>
          <w:tcPr>
            <w:tcW w:type="dxa" w:w="1337"/>
            <w:tcMar>
              <w:top w:w="60" w:type="dxa"/>
              <w:bottom w:w="60" w:type="dxa"/>
              <w:left w:w="80" w:type="dxa"/>
              <w:right w:w="80" w:type="dxa"/>
            </w:tcMar>
          </w:tcPr>
          <w:p>
            <w:r>
              <w:rPr>
                <w:sz w:val="16"/>
              </w:rPr>
              <w:t>cat /etc/passwd via /read</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T1003.008 OS Credential Dumping</w:t>
            </w:r>
          </w:p>
        </w:tc>
        <w:tc>
          <w:tcPr>
            <w:tcW w:type="dxa" w:w="1337"/>
            <w:tcMar>
              <w:top w:w="60" w:type="dxa"/>
              <w:bottom w:w="60" w:type="dxa"/>
              <w:left w:w="80" w:type="dxa"/>
              <w:right w:w="80" w:type="dxa"/>
            </w:tcMar>
          </w:tcPr>
          <w:p>
            <w:r>
              <w:rPr>
                <w:sz w:val="16"/>
              </w:rPr>
              <w:t>5.0</w:t>
            </w:r>
          </w:p>
        </w:tc>
        <w:tc>
          <w:tcPr>
            <w:tcW w:type="dxa" w:w="1337"/>
            <w:tcMar>
              <w:top w:w="60" w:type="dxa"/>
              <w:bottom w:w="60" w:type="dxa"/>
              <w:left w:w="80" w:type="dxa"/>
              <w:right w:w="80" w:type="dxa"/>
            </w:tcMar>
          </w:tcPr>
          <w:p>
            <w:r>
              <w:rPr>
                <w:sz w:val="16"/>
              </w:rPr>
              <w:t>19.0</w:t>
            </w:r>
          </w:p>
        </w:tc>
      </w:tr>
      <w:tr>
        <w:tc>
          <w:tcPr>
            <w:tcW w:type="dxa" w:w="1337"/>
            <w:tcMar>
              <w:top w:w="60" w:type="dxa"/>
              <w:bottom w:w="60" w:type="dxa"/>
              <w:left w:w="80" w:type="dxa"/>
              <w:right w:w="80" w:type="dxa"/>
            </w:tcMar>
            <w:shd w:val="clear" w:color="auto" w:fill="F9FAFC"/>
          </w:tcPr>
          <w:p>
            <w:r>
              <w:rPr>
                <w:sz w:val="16"/>
              </w:rPr>
              <w:t>7</w:t>
            </w:r>
          </w:p>
        </w:tc>
        <w:tc>
          <w:tcPr>
            <w:tcW w:type="dxa" w:w="1337"/>
            <w:tcMar>
              <w:top w:w="60" w:type="dxa"/>
              <w:bottom w:w="60" w:type="dxa"/>
              <w:left w:w="80" w:type="dxa"/>
              <w:right w:w="80" w:type="dxa"/>
            </w:tcMar>
            <w:shd w:val="clear" w:color="auto" w:fill="F9FAFC"/>
          </w:tcPr>
          <w:p>
            <w:r>
              <w:rPr>
                <w:sz w:val="16"/>
              </w:rPr>
              <w:t>4. Path Traversal</w:t>
            </w:r>
          </w:p>
        </w:tc>
        <w:tc>
          <w:tcPr>
            <w:tcW w:type="dxa" w:w="1337"/>
            <w:tcMar>
              <w:top w:w="60" w:type="dxa"/>
              <w:bottom w:w="60" w:type="dxa"/>
              <w:left w:w="80" w:type="dxa"/>
              <w:right w:w="80" w:type="dxa"/>
            </w:tcMar>
            <w:shd w:val="clear" w:color="auto" w:fill="F9FAFC"/>
          </w:tcPr>
          <w:p>
            <w:r>
              <w:rPr>
                <w:sz w:val="16"/>
              </w:rPr>
              <w:t>cat /var/etc/portal.conf via /read</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Unmapped (Background Noise)</w:t>
            </w:r>
          </w:p>
        </w:tc>
        <w:tc>
          <w:tcPr>
            <w:tcW w:type="dxa" w:w="1337"/>
            <w:tcMar>
              <w:top w:w="60" w:type="dxa"/>
              <w:bottom w:w="60" w:type="dxa"/>
              <w:left w:w="80" w:type="dxa"/>
              <w:right w:w="80" w:type="dxa"/>
            </w:tcMar>
            <w:shd w:val="clear" w:color="auto" w:fill="F9FAFC"/>
          </w:tcPr>
          <w:p>
            <w:r>
              <w:rPr>
                <w:sz w:val="16"/>
              </w:rPr>
              <w:t>0.0</w:t>
            </w:r>
          </w:p>
        </w:tc>
        <w:tc>
          <w:tcPr>
            <w:tcW w:type="dxa" w:w="1337"/>
            <w:tcMar>
              <w:top w:w="60" w:type="dxa"/>
              <w:bottom w:w="60" w:type="dxa"/>
              <w:left w:w="80" w:type="dxa"/>
              <w:right w:w="80" w:type="dxa"/>
            </w:tcMar>
            <w:shd w:val="clear" w:color="auto" w:fill="F9FAFC"/>
          </w:tcPr>
          <w:p>
            <w:r>
              <w:rPr>
                <w:sz w:val="16"/>
              </w:rPr>
              <w:t>19.0</w:t>
            </w:r>
          </w:p>
        </w:tc>
      </w:tr>
      <w:tr>
        <w:tc>
          <w:tcPr>
            <w:tcW w:type="dxa" w:w="1337"/>
            <w:tcMar>
              <w:top w:w="60" w:type="dxa"/>
              <w:bottom w:w="60" w:type="dxa"/>
              <w:left w:w="80" w:type="dxa"/>
              <w:right w:w="80" w:type="dxa"/>
            </w:tcMar>
          </w:tcPr>
          <w:p>
            <w:r>
              <w:rPr>
                <w:sz w:val="16"/>
              </w:rPr>
              <w:t>8</w:t>
            </w:r>
          </w:p>
        </w:tc>
        <w:tc>
          <w:tcPr>
            <w:tcW w:type="dxa" w:w="1337"/>
            <w:tcMar>
              <w:top w:w="60" w:type="dxa"/>
              <w:bottom w:w="60" w:type="dxa"/>
              <w:left w:w="80" w:type="dxa"/>
              <w:right w:w="80" w:type="dxa"/>
            </w:tcMar>
          </w:tcPr>
          <w:p>
            <w:r>
              <w:rPr>
                <w:sz w:val="16"/>
              </w:rPr>
              <w:t>5. Reflected XSS</w:t>
            </w:r>
          </w:p>
        </w:tc>
        <w:tc>
          <w:tcPr>
            <w:tcW w:type="dxa" w:w="1337"/>
            <w:tcMar>
              <w:top w:w="60" w:type="dxa"/>
              <w:bottom w:w="60" w:type="dxa"/>
              <w:left w:w="80" w:type="dxa"/>
              <w:right w:w="80" w:type="dxa"/>
            </w:tcMar>
          </w:tcPr>
          <w:p>
            <w:r>
              <w:rPr>
                <w:sz w:val="16"/>
              </w:rPr>
              <w:t>/search?q=&lt;script&gt;alert(1)&lt;/script&gt;</w:t>
            </w:r>
          </w:p>
        </w:tc>
        <w:tc>
          <w:tcPr>
            <w:tcW w:type="dxa" w:w="1337"/>
            <w:tcMar>
              <w:top w:w="60" w:type="dxa"/>
              <w:bottom w:w="60" w:type="dxa"/>
              <w:left w:w="80" w:type="dxa"/>
              <w:right w:w="80" w:type="dxa"/>
            </w:tcMar>
          </w:tcPr>
          <w:p>
            <w:r>
              <w:rPr>
                <w:sz w:val="16"/>
              </w:rPr>
              <w:t>http</w:t>
            </w:r>
          </w:p>
        </w:tc>
        <w:tc>
          <w:tcPr>
            <w:tcW w:type="dxa" w:w="1337"/>
            <w:tcMar>
              <w:top w:w="60" w:type="dxa"/>
              <w:bottom w:w="60" w:type="dxa"/>
              <w:left w:w="80" w:type="dxa"/>
              <w:right w:w="80" w:type="dxa"/>
            </w:tcMar>
          </w:tcPr>
          <w:p>
            <w:r>
              <w:rPr>
                <w:sz w:val="16"/>
              </w:rPr>
              <w:t>T1190 Exploit Public-Facing App</w:t>
            </w:r>
          </w:p>
        </w:tc>
        <w:tc>
          <w:tcPr>
            <w:tcW w:type="dxa" w:w="1337"/>
            <w:tcMar>
              <w:top w:w="60" w:type="dxa"/>
              <w:bottom w:w="60" w:type="dxa"/>
              <w:left w:w="80" w:type="dxa"/>
              <w:right w:w="80" w:type="dxa"/>
            </w:tcMar>
          </w:tcPr>
          <w:p>
            <w:r>
              <w:rPr>
                <w:sz w:val="16"/>
              </w:rPr>
              <w:t>4.0</w:t>
            </w:r>
          </w:p>
        </w:tc>
        <w:tc>
          <w:tcPr>
            <w:tcW w:type="dxa" w:w="1337"/>
            <w:tcMar>
              <w:top w:w="60" w:type="dxa"/>
              <w:bottom w:w="60" w:type="dxa"/>
              <w:left w:w="80" w:type="dxa"/>
              <w:right w:w="80" w:type="dxa"/>
            </w:tcMar>
          </w:tcPr>
          <w:p>
            <w:r>
              <w:rPr>
                <w:sz w:val="16"/>
              </w:rPr>
              <w:t>23.0</w:t>
            </w:r>
          </w:p>
        </w:tc>
      </w:tr>
      <w:tr>
        <w:tc>
          <w:tcPr>
            <w:tcW w:type="dxa" w:w="1337"/>
            <w:tcMar>
              <w:top w:w="60" w:type="dxa"/>
              <w:bottom w:w="60" w:type="dxa"/>
              <w:left w:w="80" w:type="dxa"/>
              <w:right w:w="80" w:type="dxa"/>
            </w:tcMar>
            <w:shd w:val="clear" w:color="auto" w:fill="F9FAFC"/>
          </w:tcPr>
          <w:p>
            <w:r>
              <w:rPr>
                <w:sz w:val="16"/>
              </w:rPr>
              <w:t>9</w:t>
            </w:r>
          </w:p>
        </w:tc>
        <w:tc>
          <w:tcPr>
            <w:tcW w:type="dxa" w:w="1337"/>
            <w:tcMar>
              <w:top w:w="60" w:type="dxa"/>
              <w:bottom w:w="60" w:type="dxa"/>
              <w:left w:w="80" w:type="dxa"/>
              <w:right w:w="80" w:type="dxa"/>
            </w:tcMar>
            <w:shd w:val="clear" w:color="auto" w:fill="F9FAFC"/>
          </w:tcPr>
          <w:p>
            <w:r>
              <w:rPr>
                <w:sz w:val="16"/>
              </w:rPr>
              <w:t>6. Web Shell Upload</w:t>
            </w:r>
          </w:p>
        </w:tc>
        <w:tc>
          <w:tcPr>
            <w:tcW w:type="dxa" w:w="1337"/>
            <w:tcMar>
              <w:top w:w="60" w:type="dxa"/>
              <w:bottom w:w="60" w:type="dxa"/>
              <w:left w:w="80" w:type="dxa"/>
              <w:right w:w="80" w:type="dxa"/>
            </w:tcMar>
            <w:shd w:val="clear" w:color="auto" w:fill="F9FAFC"/>
          </w:tcPr>
          <w:p>
            <w:r>
              <w:rPr>
                <w:sz w:val="16"/>
              </w:rPr>
              <w:t>shell.php (29 bytes) via /upload</w:t>
            </w:r>
          </w:p>
        </w:tc>
        <w:tc>
          <w:tcPr>
            <w:tcW w:type="dxa" w:w="1337"/>
            <w:tcMar>
              <w:top w:w="60" w:type="dxa"/>
              <w:bottom w:w="60" w:type="dxa"/>
              <w:left w:w="80" w:type="dxa"/>
              <w:right w:w="80" w:type="dxa"/>
            </w:tcMar>
            <w:shd w:val="clear" w:color="auto" w:fill="F9FAFC"/>
          </w:tcPr>
          <w:p>
            <w:r>
              <w:rPr>
                <w:sz w:val="16"/>
              </w:rPr>
              <w:t>file_upload</w:t>
            </w:r>
          </w:p>
        </w:tc>
        <w:tc>
          <w:tcPr>
            <w:tcW w:type="dxa" w:w="1337"/>
            <w:tcMar>
              <w:top w:w="60" w:type="dxa"/>
              <w:bottom w:w="60" w:type="dxa"/>
              <w:left w:w="80" w:type="dxa"/>
              <w:right w:w="80" w:type="dxa"/>
            </w:tcMar>
            <w:shd w:val="clear" w:color="auto" w:fill="F9FAFC"/>
          </w:tcPr>
          <w:p>
            <w:r>
              <w:rPr>
                <w:sz w:val="16"/>
              </w:rPr>
              <w:t>T1505.003 Web Shell</w:t>
            </w:r>
          </w:p>
        </w:tc>
        <w:tc>
          <w:tcPr>
            <w:tcW w:type="dxa" w:w="1337"/>
            <w:tcMar>
              <w:top w:w="60" w:type="dxa"/>
              <w:bottom w:w="60" w:type="dxa"/>
              <w:left w:w="80" w:type="dxa"/>
              <w:right w:w="80" w:type="dxa"/>
            </w:tcMar>
            <w:shd w:val="clear" w:color="auto" w:fill="F9FAFC"/>
          </w:tcPr>
          <w:p>
            <w:r>
              <w:rPr>
                <w:sz w:val="16"/>
              </w:rPr>
              <w:t>3.0</w:t>
            </w:r>
          </w:p>
        </w:tc>
        <w:tc>
          <w:tcPr>
            <w:tcW w:type="dxa" w:w="1337"/>
            <w:tcMar>
              <w:top w:w="60" w:type="dxa"/>
              <w:bottom w:w="60" w:type="dxa"/>
              <w:left w:w="80" w:type="dxa"/>
              <w:right w:w="80" w:type="dxa"/>
            </w:tcMar>
            <w:shd w:val="clear" w:color="auto" w:fill="F9FAFC"/>
          </w:tcPr>
          <w:p>
            <w:r>
              <w:rPr>
                <w:sz w:val="16"/>
              </w:rPr>
              <w:t>26.0</w:t>
            </w:r>
          </w:p>
        </w:tc>
      </w:tr>
    </w:tbl>
    <w:p>
      <w:pPr>
        <w:spacing w:after="120"/>
      </w:pPr>
    </w:p>
    <w:p>
      <w:pPr>
        <w:spacing w:before="160" w:after="40"/>
      </w:pPr>
      <w:r>
        <w:rPr>
          <w:b/>
          <w:color w:val="2E5B88"/>
          <w:sz w:val="22"/>
        </w:rPr>
        <w:t>9.3 Rule Table Evaluation Latency Microbenchmark</w:t>
      </w:r>
    </w:p>
    <w:p>
      <w:r>
        <w:t>Scope &amp; Testbed Specification: To establish empirical timing boundaries for the deterministic rule engine, an automated microbenchmark script (scripts/benchmark_rule_latency.py) was executed. This is an in-memory microbenchmark measuring pure table and regex lookup execution via Python's high-resolution performance counter (time.perf_counter_ns); it explicitly excludes network transmission and database I/O latency. The microbenchmark was executed on a dedicated testbed host equipped with an 11th Gen Intel(R) Core(TM) i5-11320H processor @ 3.20GHz (4 physical cores, 8 logical threads), 8 GB RAM, running Microsoft Windows 11 (Build 26300) and Python 3.14.6 (64-bit).</w:t>
      </w:r>
    </w:p>
    <w:p>
      <w:r>
        <w:t>Microbenchmark Results: The evaluation executed 10,000 iterations across a representative corpus of 14 items comprising shell attack payloads, protocol actions, and unmapped background noise (140,000 total evaluations). The rule engine achieved a mean evaluation latency of 10.56 µs (0.01056 ms) with a standard deviation of 20.80 µs. The median latency was 2.50 µs, the 95th percentile was 34.10 µs, and the 99th percentile was 58.10 µs (0.0581 ms). Minimum observed latency was 0.20 µs, and maximum latency was 2,170.20 µs (2.17 ms). The full statistical breakdown is committed under results/rule_latency_benchmark.json.</w:t>
      </w:r>
    </w:p>
    <w:p>
      <w:pPr>
        <w:spacing w:before="240" w:after="60"/>
      </w:pPr>
      <w:r>
        <w:rPr>
          <w:b/>
          <w:color w:val="1B365D"/>
          <w:sz w:val="25"/>
        </w:rPr>
        <w:t>X.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br/>
      </w:r>
      <w:r>
        <w:rPr>
          <w:b/>
        </w:rPr>
        <w:t xml:space="preserve">6. Residual Passive Prompt Injection in Offline Summarization: </w:t>
      </w:r>
      <w:r>
        <w:t>Decoupling the LLM from interactive sockets prevents interactive session hijacking and runaway generation. However, because the offline summarization engine ingests attacker-controlled strings (e.g., HTTP user agents and shell parameters), the system remains susceptible to passive prompt injection and context contamination [9], [22] unless strict delimiter sanitization is applied.</w:t>
      </w:r>
    </w:p>
    <w:p>
      <w:pPr>
        <w:spacing w:before="240" w:after="60"/>
      </w:pPr>
      <w:r>
        <w:rPr>
          <w:b/>
          <w:color w:val="1B365D"/>
          <w:sz w:val="25"/>
        </w:rPr>
        <w:t>XI. Conclusion</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mitigates live prompt injection risks and interactive hallucinations while preserving deterministic attribution speed (microbenchmark mean: 10.56 µs). The platform's internal consistency is validated by an 84-test automated pytest suite, and its operational flow is demonstrated through a verified live Docker harness run capturing 14 events across 6 sessions (cumulative campaign severity: 26.0).</w:t>
      </w:r>
    </w:p>
    <w:p>
      <w:pPr>
        <w:spacing w:before="240" w:after="60"/>
      </w:pPr>
      <w:r>
        <w:rPr>
          <w:b/>
          <w:color w:val="1B365D"/>
          <w:sz w:val="25"/>
        </w:rPr>
        <w:t>XII. Future Research Directions</w:t>
      </w:r>
    </w:p>
    <w:p>
      <w:r>
        <w:t>1. Automated Shell De-obfuscation Pipelines: Train and integrate lightweight normalizers to unroll variable substitutions and base64 encodings prior to deterministic rule matching.</w:t>
        <w:br/>
        <w:t>2. Multi-Subnet &amp; IPv6 Correlation Expansion: Extend sliding-window grouping to accommodate enterprise autonomous system boundaries and IPv6 /64 prefix aggregation.</w:t>
        <w:br/>
        <w:t>3. Delimiter-Hardened Post-Capture Log Sanitization: Investigate structured prompt sandboxing and template miners to immunize offline LLM summarizers against passive prompt injection.</w:t>
      </w:r>
    </w:p>
    <w:p>
      <w:pPr>
        <w:spacing w:before="240" w:after="60"/>
      </w:pPr>
      <w:r>
        <w:rPr>
          <w:b/>
          <w:color w:val="1B365D"/>
          <w:sz w:val="25"/>
        </w:rPr>
        <w:t>Declarations</w:t>
      </w:r>
    </w:p>
    <w:p>
      <w:r>
        <w:rPr>
          <w:b/>
        </w:rPr>
        <w:t xml:space="preserve">Competing Interests: </w:t>
      </w:r>
      <w:r>
        <w:t>The authors declare that they have no competing interests.</w:t>
        <w:br/>
      </w:r>
      <w:r>
        <w:rPr>
          <w:b/>
        </w:rPr>
        <w:t xml:space="preserve">Funding Information: </w:t>
      </w:r>
      <w:r>
        <w:t>[NEED FROM AUTHOR: Funding sources or state 'Not Applicable']</w:t>
        <w:br/>
      </w:r>
      <w:r>
        <w:rPr>
          <w:b/>
        </w:rPr>
        <w:t xml:space="preserve">Author Contribution: </w:t>
      </w:r>
      <w:r>
        <w:t>P.M. Shinde: conceptualization, methodology, software, and writing – original draft. S. Danwe, [Co-Author 3], [Co-Author 4]: system design, literature review, evaluation, and writing – review and editing. [Project Supervisor]: supervision, validation, review and editing.</w:t>
        <w:br/>
      </w:r>
      <w:r>
        <w:rPr>
          <w:b/>
        </w:rPr>
        <w:t xml:space="preserve">Data Availability Statement: </w:t>
      </w:r>
      <w:r>
        <w:t>All source code, Docker configurations, test suites, raw database dumps, and container execution logs are publicly available in the GitHub repository: https://github.com/Pi25sh/DeceptionNet (pinned commit 0d4111142f4970e83bb8eeede43a5a1b08486214). A formal supplementary Claim Ledger is committed at docs/CLAIM_LEDGER.md.</w:t>
        <w:br/>
      </w:r>
      <w:r>
        <w:rPr>
          <w:b/>
        </w:rPr>
        <w:t xml:space="preserve">Research Involving Human and/or Animals: </w:t>
      </w:r>
      <w:r>
        <w:t>Not Applicable.</w:t>
        <w:br/>
      </w:r>
      <w:r>
        <w:rPr>
          <w:b/>
        </w:rPr>
        <w:t xml:space="preserve">Informed Consent: </w:t>
      </w:r>
      <w:r>
        <w:t>Not Applicable.</w:t>
      </w:r>
    </w:p>
    <w:p>
      <w:pPr>
        <w:spacing w:before="240" w:after="60"/>
      </w:pPr>
      <w:r>
        <w:rPr>
          <w:b/>
          <w:color w:val="1B365D"/>
          <w:sz w:val="25"/>
        </w:rPr>
        <w:t>XIII. References</w:t>
      </w:r>
    </w:p>
    <w:p>
      <w:pPr>
        <w:spacing w:after="60"/>
        <w:ind w:left="432" w:hanging="432"/>
      </w:pPr>
      <w:r>
        <w:rPr>
          <w:sz w:val="18"/>
        </w:rPr>
        <w:t>1. Spitzner, L. (2002). Honeypots: Tracking Hackers. Addison-Wesley Professional. ISBN: 0-321-10895-7.</w:t>
      </w:r>
    </w:p>
    <w:p>
      <w:pPr>
        <w:spacing w:after="60"/>
        <w:ind w:left="432" w:hanging="432"/>
      </w:pPr>
      <w:r>
        <w:rPr>
          <w:sz w:val="18"/>
        </w:rPr>
        <w:t>2. Provos, N., &amp; Holz, T. (2007). Virtual Honeypots: From Botnet Tracking to Intrusion Detection. Addison-Wesley Professional. ISBN: 978-0-321-33632-3.</w:t>
      </w:r>
    </w:p>
    <w:p>
      <w:pPr>
        <w:spacing w:after="60"/>
        <w:ind w:left="432" w:hanging="432"/>
      </w:pPr>
      <w:r>
        <w:rPr>
          <w:sz w:val="18"/>
        </w:rPr>
        <w:t>3. Fraunholz, D., Anton, S. D., Lipps, C., Reti, D., Krohmer, D., Pohl, F., Tammen, M., &amp; Schotten, H. D. (2018). Demystifying deception technology: A survey. arXiv preprint arXiv:1804.06196. https://arxiv.org/abs/1804.06196</w:t>
      </w:r>
    </w:p>
    <w:p>
      <w:pPr>
        <w:spacing w:after="60"/>
        <w:ind w:left="432" w:hanging="432"/>
      </w:pPr>
      <w:r>
        <w:rPr>
          <w:sz w:val="18"/>
        </w:rPr>
        <w:t>4. Oosterhof, M. (2024). Cowrie: An SSH and Telnet honeypot designed to log brute force attacks and shell interaction. GitHub repository. https://github.com/cowrie/cowrie</w:t>
      </w:r>
    </w:p>
    <w:p>
      <w:pPr>
        <w:spacing w:after="60"/>
        <w:ind w:left="432" w:hanging="432"/>
      </w:pPr>
      <w:r>
        <w:rPr>
          <w:sz w:val="18"/>
        </w:rPr>
        <w:t>5. Baecher, P., Bächer, M., &amp; Holz, T. (2024). Dionaea: Catching malware with low-interaction honeypots. DinoTools repository. https://github.com/DinoTools/dionaea</w:t>
      </w:r>
    </w:p>
    <w:p>
      <w:pPr>
        <w:spacing w:after="60"/>
        <w:ind w:left="432" w:hanging="432"/>
      </w:pPr>
      <w:r>
        <w:rPr>
          <w:sz w:val="18"/>
        </w:rPr>
        <w:t>6. Strom, B. E., Applebaum, A., Miller, D. P., Nickels, K. C., Pennington, A. G., &amp; Thomas, C. B. (2018). MITRE ATT&amp;CK: Design and philosophy. The MITRE Corporation, Tech. Rep. MTR180175. https://www.mitre.org/news-insights/publication-library/mitre-attck-design-and-philosophy</w:t>
      </w:r>
    </w:p>
    <w:p>
      <w:pPr>
        <w:spacing w:after="60"/>
        <w:ind w:left="432" w:hanging="432"/>
      </w:pPr>
      <w:r>
        <w:rPr>
          <w:sz w:val="18"/>
        </w:rPr>
        <w:t>7. Wang, Z., Ding, Z., Qin, X., Fan, Y., Sun, L., &amp; Fan, M. (2024). HoneyGPT: Breaking the trilemma in terminal honeypots with large language models. arXiv preprint arXiv:2406.01882. https://arxiv.org/abs/2406.01882</w:t>
      </w:r>
    </w:p>
    <w:p>
      <w:pPr>
        <w:spacing w:after="60"/>
        <w:ind w:left="432" w:hanging="432"/>
      </w:pPr>
      <w:r>
        <w:rPr>
          <w:sz w:val="18"/>
        </w:rPr>
        <w:t>8. Otal, H. T., &amp; Canbaz, M. A. (2024). LLM Honeypot: Leveraging large language models as advanced interactive honeypot systems. arXiv preprint arXiv:2409.08234. https://arxiv.org/abs/2409.08234</w:t>
      </w:r>
    </w:p>
    <w:p>
      <w:pPr>
        <w:spacing w:after="60"/>
        <w:ind w:left="432" w:hanging="432"/>
      </w:pPr>
      <w:r>
        <w:rPr>
          <w:sz w:val="18"/>
        </w:rPr>
        <w:t>9. Greshake, K., Abdelnabi, S., Mishra, S., Endres, C., Holz, T., &amp; Fritz, M. (2023). Not what you've signed up for: Compromising real-world LLM-integrated applications with indirect prompt injection. In Proceedings of the 16th ACM Workshop on Artificial Intelligence and Security (AISEC '23) (pp. 79–90). https://doi.org/10.1145/3605764.3623985</w:t>
      </w:r>
    </w:p>
    <w:p>
      <w:pPr>
        <w:spacing w:after="60"/>
        <w:ind w:left="432" w:hanging="432"/>
      </w:pPr>
      <w:r>
        <w:rPr>
          <w:sz w:val="18"/>
        </w:rPr>
        <w:t>10. Ji, Z., Lee, N., Frieske, R., Yu, T., Su, D., Xu, Y., Ishii, E., Bang, Y. J., Madotto, A., &amp; Fung, P. (2023). Survey of hallucination in natural language generation. ACM Computing Surveys, 55(12), 1–38. https://doi.org/10.1145/3571730</w:t>
      </w:r>
    </w:p>
    <w:p>
      <w:pPr>
        <w:spacing w:after="60"/>
        <w:ind w:left="432" w:hanging="432"/>
      </w:pPr>
      <w:r>
        <w:rPr>
          <w:sz w:val="18"/>
        </w:rPr>
        <w:t>11. Kang, D., Li, X., Stoica, I., Guestrin, C., Zaharia, M., &amp; Hashimoto, T. (2024). Exploiting programmatic behavior of LLMs: Dual-use through standard security attacks. In Proceedings of the IEEE Security and Privacy Workshops (SPW '24) (pp. 132–143). https://doi.org/10.1109/SPW63631.2024.00018</w:t>
      </w:r>
    </w:p>
    <w:p>
      <w:pPr>
        <w:spacing w:after="60"/>
        <w:ind w:left="432" w:hanging="432"/>
      </w:pPr>
      <w:r>
        <w:rPr>
          <w:sz w:val="18"/>
        </w:rPr>
        <w:t>12. Cohen, F. (1998). A note on the role of deception in information protection. Computers &amp; Security, 17(6), 483–506. https://doi.org/10.1016/S0167-4048(98)80071-0</w:t>
      </w:r>
    </w:p>
    <w:p>
      <w:pPr>
        <w:spacing w:after="60"/>
        <w:ind w:left="432" w:hanging="432"/>
      </w:pPr>
      <w:r>
        <w:rPr>
          <w:sz w:val="18"/>
        </w:rPr>
        <w:t>13. Cohen, F. (2000). A mathematical structure of simple defensive network deceptions. Computers &amp; Security, 19(6), 520–528. http://all.net/journal/deception/mathdeception/mathdeception.html</w:t>
      </w:r>
    </w:p>
    <w:p>
      <w:pPr>
        <w:spacing w:after="60"/>
        <w:ind w:left="432" w:hanging="432"/>
      </w:pPr>
      <w:r>
        <w:rPr>
          <w:sz w:val="18"/>
        </w:rPr>
        <w:t>14. Provos, N. (2004). A virtual honeypot framework. In Proceedings of the 13th USENIX Security Symposium (pp. 1–14). https://www.usenix.org/legacy/event/sec04/tech/provos.html</w:t>
      </w:r>
    </w:p>
    <w:p>
      <w:pPr>
        <w:spacing w:after="60"/>
        <w:ind w:left="432" w:hanging="432"/>
      </w:pPr>
      <w:r>
        <w:rPr>
          <w:sz w:val="18"/>
        </w:rPr>
        <w:t>15. Holz, T., &amp; Raynal, F. (2005). Detecting honeypots and other suspicious environments. In Proceedings of the 6th IEEE Information Assurance Workshop (IAW '05) (pp. 29–36). https://doi.org/10.1109/IAW.2005.1495930</w:t>
      </w:r>
    </w:p>
    <w:p>
      <w:pPr>
        <w:spacing w:after="60"/>
        <w:ind w:left="432" w:hanging="432"/>
      </w:pPr>
      <w:r>
        <w:rPr>
          <w:sz w:val="18"/>
        </w:rPr>
        <w:t>16. Telekom Security. (2024). T-Pot: The all-in-one multi-honeypot platform. Deutsche Telekom AG. https://github.com/telekom-security/tpotce</w:t>
      </w:r>
    </w:p>
    <w:p>
      <w:pPr>
        <w:spacing w:after="60"/>
        <w:ind w:left="432" w:hanging="432"/>
      </w:pPr>
      <w:r>
        <w:rPr>
          <w:sz w:val="18"/>
        </w:rPr>
        <w:t>17. Valeur, F., Vigna, G., Kruegel, C., &amp; Kemmerer, R. A. (2004). A comprehensive approach to intrusion detection alert correlation. IEEE Transactions on Dependable and Secure Computing, 1(3), 146–169. https://doi.org/10.1109/TDSC.2004.21</w:t>
      </w:r>
    </w:p>
    <w:p>
      <w:pPr>
        <w:spacing w:after="60"/>
        <w:ind w:left="432" w:hanging="432"/>
      </w:pPr>
      <w:r>
        <w:rPr>
          <w:sz w:val="18"/>
        </w:rPr>
        <w:t>18. Ning, P., Cui, Y., &amp; Reeves, D. S. (2002). Constructing attack scenarios through correlation of intrusion alerts. In Proceedings of the 9th ACM Conference on Computer and Communications Security (CCS '02) (pp. 245–254). https://doi.org/10.1145/586110.586144</w:t>
      </w:r>
    </w:p>
    <w:p>
      <w:pPr>
        <w:spacing w:after="60"/>
        <w:ind w:left="432" w:hanging="432"/>
      </w:pPr>
      <w:r>
        <w:rPr>
          <w:sz w:val="18"/>
        </w:rPr>
        <w:t>19. Sadoddin, R., &amp; Ghorbani, A. A. (2006). Alert correlation survey: Framework and techniques. In Proceedings of the 2006 International Conference on Privacy, Security and Trust (PST '06) (Article 37, pp. 1–12). https://doi.org/10.1145/1501434.1501479</w:t>
      </w:r>
    </w:p>
    <w:p>
      <w:pPr>
        <w:spacing w:after="60"/>
        <w:ind w:left="432" w:hanging="432"/>
      </w:pPr>
      <w:r>
        <w:rPr>
          <w:sz w:val="18"/>
        </w:rPr>
        <w:t>20. Bridges, R. A., Mitchell, T. R., Muñoz, M., &amp; Henriksson, T. (2025). SoK: Honeypots &amp; LLMs, more than the sum of their parts? arXiv preprint arXiv:2510.25939. https://arxiv.org/abs/2510.25939</w:t>
      </w:r>
    </w:p>
    <w:p>
      <w:pPr>
        <w:spacing w:after="60"/>
        <w:ind w:left="432" w:hanging="432"/>
      </w:pPr>
      <w:r>
        <w:rPr>
          <w:sz w:val="18"/>
        </w:rPr>
        <w:t>21. Lewis, P., Perez, E., Piktus, A., Petroni, F., Karpukhin, V., Goyal, N., Küttler, H., Lewis, M., Yih, W., Rocktäschel, T., Riedel, S., &amp; Kiela, D. (2020). Retrieval-augmented generation for knowledge-intensive NLP tasks. In Advances in Neural Information Processing Systems (NeurIPS 2020) (Vol. 33, pp. 9459–9474).</w:t>
      </w:r>
    </w:p>
    <w:p>
      <w:pPr>
        <w:spacing w:after="60"/>
        <w:ind w:left="432" w:hanging="432"/>
      </w:pPr>
      <w:r>
        <w:rPr>
          <w:sz w:val="18"/>
        </w:rPr>
        <w:t>22. Karanjai, R., Lu, Y., Madhavarao, H. H., Xu, L., &amp; Shi, W. (2026). Context contamination in LLM analysis of network security logs: Poison with passive prompt injection and mitigation evaluation. arXiv preprint arXiv:2607.14493. https://arxiv.org/abs/2607.14493</w:t>
      </w:r>
    </w:p>
    <w:p>
      <w:pPr>
        <w:spacing w:after="60"/>
        <w:ind w:left="432" w:hanging="432"/>
      </w:pPr>
      <w:r>
        <w:rPr>
          <w:sz w:val="18"/>
        </w:rPr>
        <w:t>23. The MITRE Corporation. (2023). MITRE ATT&amp;CK Enterprise Matrix (Version 14.1). https://attack.mitre.org/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77777"/>
        <w:sz w:val="18"/>
      </w:rPr>
      <w:t>SN Computer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