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B365D"/>
          <w:sz w:val="36"/>
        </w:rPr>
        <w:t>DeceptionNet: An Architectural Framework for Multi-Honeypot Active Defense, Deterministic ATT&amp;CK Attribution, and Decoupled Threat Intelligence</w:t>
      </w:r>
    </w:p>
    <w:p>
      <w:pPr>
        <w:spacing w:after="320"/>
        <w:jc w:val="center"/>
      </w:pPr>
      <w:r>
        <w:rPr>
          <w:b/>
          <w:sz w:val="22"/>
        </w:rPr>
        <w:t>Piyush Madan Shinde, Shivani Danwe, [NEED FROM AUTHOR: Co-Author 3], [NEED FROM AUTHOR: Co-Author 4]</w:t>
        <w:br/>
      </w:r>
      <w:r>
        <w:rPr>
          <w:i/>
          <w:color w:val="444444"/>
          <w:sz w:val="19"/>
        </w:rPr>
        <w:t>Department of Computer Science and Engineering</w:t>
        <w:br/>
        <w:t>SVERI's College of Engineering, Pandharpur</w:t>
        <w:br/>
        <w:t>Affiliated with Punyashlok Ahilyadevi Holkar Solapur University, Solapur, Maharashtra, India</w:t>
        <w:br/>
        <w:t>[NEED FROM AUTHOR: Author email addresses]</w:t>
        <w:br/>
        <w:t>[NEED FROM AUTHOR: Project Supervisor name, department, institution]</w:t>
        <w:br/>
        <w:t>[NEED FROM AUTHOR: Target venue, template, and page limit]</w:t>
        <w:br/>
        <w:t>Repository: https://github.com/Pi25sh/DeceptionNet (pinned commit c18885798469d798bd2533affad279724c4662ab)</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80"/>
            </w:pPr>
            <w:r>
              <w:rPr>
                <w:b/>
              </w:rPr>
              <w:t>Abstract—</w:t>
            </w: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r>
              <w:rPr>
                <w:b/>
              </w:rPr>
              <w:t>Keywords—</w:t>
            </w:r>
            <w:r>
              <w:rPr>
                <w:i/>
                <w:sz w:val="19"/>
              </w:rPr>
              <w:t>Honeypots, Active Cyber Defense, MITRE ATT&amp;CK, Telemetry Normalization, Cross-Honeypot Correlation, Decoupled LLM Summarization, Reproducible Systems.</w:t>
            </w:r>
          </w:p>
        </w:tc>
      </w:tr>
    </w:tbl>
    <w:p>
      <w:pPr>
        <w:spacing w:after="200"/>
      </w:pPr>
    </w:p>
    <w:p>
      <w:pPr>
        <w:spacing w:before="280" w:after="80"/>
      </w:pPr>
      <w:r>
        <w:rPr>
          <w:b/>
          <w:color w:val="1B365D"/>
          <w:sz w:val="27"/>
        </w:rPr>
        <w:t>1. Introduction</w:t>
      </w:r>
    </w:p>
    <w:p>
      <w:r>
        <w:t>Active deception platforms deploy network decoys that emulate legitimate computational assets to detect unauthorized reconnaissance and lateral movement early in an intrusion lifecycle [1], [2]. When placed on unadvertised IP space or isolated demilitarized zones, benign internal users have no operational cause to interact with these systems. Consequently, interactions with honeypots are anomalous by definition, yielding significantly lower false-positive rates than perimeter intrusion detection systems that process noisy production traffic [3].</w:t>
      </w:r>
    </w:p>
    <w:p>
      <w:r>
        <w:t>Despite their strategic utility, deploying multi-honeypot infrastructures in resource-constrained or educational environments exposes three significant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Version 14.1 [23])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conversational realism, they introduce severe vulnerabilities: adversaries can exploit indirect prompt injection [9] to alter system state, induce ungrounded hallucinations [10], or execute denial-of-wallet attacks through unbounded token consumption [11]. Importantly, while removing generative models from interactive terminal sockets prevents live hijacking, any post-capture summarizer that processes attacker-controlled logs remains exposed to passive prompt injection and context contamination [22].</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 backed by the committed Claim Ledger.</w:t>
      </w:r>
    </w:p>
    <w:p>
      <w:pPr>
        <w:spacing w:before="280" w:after="80"/>
      </w:pPr>
      <w:r>
        <w:rPr>
          <w:b/>
          <w:color w:val="1B365D"/>
          <w:sz w:val="27"/>
        </w:rPr>
        <w:t>2. Related Work</w:t>
      </w:r>
    </w:p>
    <w:p>
      <w:r>
        <w:t>DeceptionNet builds upon foundational literature in network deception, alert correlation, and recent explorations of language models in security systems.</w:t>
      </w:r>
    </w:p>
    <w:p>
      <w:pPr>
        <w:spacing w:before="200" w:after="60"/>
      </w:pPr>
      <w:r>
        <w:rPr>
          <w:b/>
          <w:color w:val="2E5B88"/>
          <w:sz w:val="23"/>
        </w:rPr>
        <w:t>2.1 Honeypots and Deception Frameworks</w:t>
      </w:r>
    </w:p>
    <w:p>
      <w:r>
        <w:t>The conceptual foundations of computational deception were articulated by Cohen [12], [13] and operationalized by Spitzner [1] and Provos [14]. Low-interaction honeypots, exemplified by Honeyd [14], emulate network daemon banners and basic protocol handshakes with minimal resource overhead. High-interaction honeypots expose real operating systems to capture novel exploit payloads but carry significant risk of host compromise and lateral pivot [15]. Specialized medium-interaction systems, such as Cowrie [4] for SSH/Telnet and Dionaea [5] for binary payload capture, balance interactivity and safety. Multi-honeypot distributions like T-Pot [16] package disparate daemons into a unified appliance but rely on heavyweight stacks that do not natively map commands to standardized MITRE ATT&amp;CK technique weights.</w:t>
      </w:r>
    </w:p>
    <w:p>
      <w:pPr>
        <w:spacing w:before="200" w:after="60"/>
      </w:pPr>
      <w:r>
        <w:rPr>
          <w:b/>
          <w:color w:val="2E5B88"/>
          <w:sz w:val="23"/>
        </w:rPr>
        <w:t>2.2 Alert Correlation and Attack Reconstruction</w:t>
      </w:r>
    </w:p>
    <w:p>
      <w:r>
        <w:t>Intrusion alert correlation was formalized by Valeur et al. [17] and Ning et al. [18], who proposed multi-stage pipelines comprising alert normalization, fusion, verification, and causal scenario reconstruction. Sadoddin and Ghorbani [19] surveyed alert correlation methodologies, emphasizing sliding-window temporal heuristics and attribute-similarity grouping. DeceptionNet adapts these classical correlation principles to multi-honeypot architectures: exact session identifiers isolate concurrent sessions within the same honeypot daemon, while cross-honeypot events sharing an IP within a 5-minute temporal window are fused to reconstruct unified multi-stage adversary campaigns.</w:t>
      </w:r>
    </w:p>
    <w:p>
      <w:pPr>
        <w:spacing w:before="200" w:after="60"/>
      </w:pPr>
      <w:r>
        <w:rPr>
          <w:b/>
          <w:color w:val="2E5B88"/>
          <w:sz w:val="23"/>
        </w:rPr>
        <w:t>2.3 Positioning Against Interactive LLM Honeypots</w:t>
      </w:r>
    </w:p>
    <w:p>
      <w:r>
        <w:t>Recent security research has investigated deploying generative LLMs directly as terminal shells to deceive attackers. HoneyGPT [7] uses structured prompt engineering and chain-of-thought prompting to maintain stateful shell interaction. Otal and Canbaz [8] fine-tune open-source models on command-response corpora to construct interactive Linux environments, while Bridges et al. [20] systematize knowledge on LLM-honeypot convergence. Although interactive LLMs demonstrate high conversational fidelity, they suffer from fundamental operational liabilities: Greshake et al. [9] demonstrated that adversarial inputs can trigger indirect prompt injection, Kang et al. [11] showed that programmatic LLM behaviors can be manipulated through standard security attacks, and Ji et al. [10] surveyed extensive failure modes in ungrounded text generation. Furthermore, Karanjai et al. [22] showed that even in offline Security Operations Center analysis, security logs containing untrusted attacker strings can poison LLM summarization through passive prompt injection (context contamination). DeceptionNet addresses the interactive hazard by removing LLMs entirely from live network sockets: all interactions are handled by deterministic daemons, and generative models operate strictly on stored, immutable telemetry for analyst summarization.</w:t>
      </w:r>
    </w:p>
    <w:p>
      <w:pPr>
        <w:spacing w:before="280" w:after="80"/>
      </w:pPr>
      <w:r>
        <w:rPr>
          <w:b/>
          <w:color w:val="1B365D"/>
          <w:sz w:val="27"/>
        </w:rPr>
        <w:t>3. Threat Model and Scope</w:t>
      </w:r>
    </w:p>
    <w:p>
      <w:r>
        <w:t>We assume an external adversary attempting unauthorized network access, remote command execution, privilege escalation, and data exfiltration against an organization's perimeter. The adversary possesses capabilities to execute automated port scanning (e.g., nmap), credential stuffing (e.g., hydra), SQL injection, web application exploitation, and post-exploitation shell commands. Adversaries may attempt to evade detection using keyword obfuscation or by distributing attacks across multiple network protocols.</w:t>
      </w:r>
    </w:p>
    <w:p>
      <w:r>
        <w:t>Scope &amp; Trust Boundaries: DeceptionNet operates as an internal or DMZ detection sensor. The core-api backend, PostgreSQL store, AI summarization microservice, and React dashboard reside on an internal bridge network ('deceptionnet') that is completely unreachable from the honeypots. The honeypots reside on an isolated bridge network ('honeypot_net'). The only data conduit between networks is unidirectional asynchronous telemetry forwarding via dedicated forwarder containers. We explicitly consider live production deployment, evasive malware binary unpacking, and adversary counter-intelligence in the wild to be outside the scope of this system design and lab evaluation.</w:t>
      </w:r>
    </w:p>
    <w:p>
      <w:pPr>
        <w:spacing w:before="280" w:after="80"/>
      </w:pPr>
      <w:r>
        <w:rPr>
          <w:b/>
          <w:color w:val="1B365D"/>
          <w:sz w:val="27"/>
        </w:rPr>
        <w:t>4. System Design</w:t>
      </w:r>
    </w:p>
    <w:p>
      <w:r>
        <w:t>DeceptionNet comprises five interconnected microservices partitioned across dual Docker networks:</w:t>
      </w:r>
    </w:p>
    <w:p>
      <w:r>
        <w:rPr>
          <w:b/>
        </w:rPr>
        <w:t>1. Honeypot Decoy Subsystem (honeypot_net):</w:t>
        <w:br/>
      </w:r>
      <w:r>
        <w:t>Emulates vulnerable services exposed to attackers. Cowrie emulates SSH and Telnet protocols; Dionaea emulates SMB, FTP, SIP, and HTTP protocols; a custom decoy simulates Redis (port 16379), SMTP (port 2525), and HTTP admin panels; and the Attack-Target application simulates an enterprise portal (port 9090) with intentional vulnerabilities.</w:t>
        <w:br/>
      </w:r>
      <w:r>
        <w:rPr>
          <w:b/>
        </w:rPr>
        <w:t>2. Asynchronous Telemetry Forwarders:</w:t>
        <w:br/>
      </w:r>
      <w:r>
        <w:t>Lightweight Python forwarders tail decoy log files in real time. Forwarders normalize heterogeneous log formats into a common schema (session ID, source IP, event type, timestamp, command input, and raw payload) and dispatch HTTP POST requests across the bridge network to core-api.</w:t>
        <w:br/>
      </w:r>
      <w:r>
        <w:rPr>
          <w:b/>
        </w:rPr>
        <w:t>3. Central Security Engine (core-api):</w:t>
        <w:br/>
      </w:r>
      <w:r>
        <w:t>Ingests normalized telemetry, coordinates sliding-window session attribution, executes deterministic ATT&amp;CK mapping, calculates monotonic severity scores, and enforces OAuth2 JWT authentication and RBAC for operator endpoints and WebSocket broadcasts.</w:t>
        <w:br/>
      </w:r>
      <w:r>
        <w:rPr>
          <w:b/>
        </w:rPr>
        <w:t>4. Decoupled AI Threat Intelligence Service (ai-service):</w:t>
        <w:br/>
      </w:r>
      <w:r>
        <w:t>Houses an asynchronous summarization engine and a local FAISS semantic index for MITRE ATT&amp;CK techniques, invoked only after session telemetry has been ingested.</w:t>
        <w:br/>
      </w:r>
      <w:r>
        <w:rPr>
          <w:b/>
        </w:rPr>
        <w:t>5. Operator Dashboard (dashboard):</w:t>
        <w:br/>
      </w:r>
      <w:r>
        <w:t>A responsive single-page web interface built with React 18, Vite 5, Recharts, and Vanilla CSS, streaming live incident feeds over WebSockets and rendering session timelines, ATT&amp;CK distributions, and PDF incident reports.</w:t>
      </w:r>
    </w:p>
    <w:p>
      <w:pPr>
        <w:spacing w:before="200" w:after="60"/>
      </w:pPr>
      <w:r>
        <w:rPr>
          <w:b/>
          <w:color w:val="2E5B88"/>
          <w:sz w:val="23"/>
        </w:rPr>
        <w:t>4.1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200" w:after="60"/>
      </w:pPr>
      <w:r>
        <w:rPr>
          <w:b/>
          <w:color w:val="2E5B88"/>
          <w:sz w:val="23"/>
        </w:rPr>
        <w:t>4.2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200" w:after="60"/>
      </w:pPr>
      <w:r>
        <w:rPr>
          <w:b/>
          <w:color w:val="2E5B88"/>
          <w:sz w:val="23"/>
        </w:rPr>
        <w:t>4.3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200" w:after="60"/>
      </w:pPr>
      <w:r>
        <w:rPr>
          <w:b/>
          <w:color w:val="2E5B88"/>
          <w:sz w:val="23"/>
        </w:rPr>
        <w:t>4.4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80" w:after="80"/>
      </w:pPr>
      <w:r>
        <w:rPr>
          <w:b/>
          <w:color w:val="1B365D"/>
          <w:sz w:val="27"/>
        </w:rPr>
        <w:t>5. Implementation &amp; Reproducibility</w:t>
      </w:r>
    </w:p>
    <w:p>
      <w:r>
        <w:t>DeceptionNet is implemented in Python and JavaScript and orchestrated via Docker Compose. The component versions and dependencies include:</w:t>
      </w:r>
    </w:p>
    <w:p>
      <w:r>
        <w:rPr>
          <w:b/>
        </w:rPr>
        <w:t xml:space="preserve">• Core API: </w:t>
      </w:r>
      <w:r>
        <w:t>FastAPI 0.109.2 (pinned in core-api/requirements.txt), SQLAlchemy 2.0.25 ORM, PostgreSQL 16 (Compose) or SQLite (testing), Uvicorn 0.27.1 ASGI server.</w:t>
        <w:br/>
      </w:r>
      <w:r>
        <w:rPr>
          <w:b/>
        </w:rPr>
        <w:t xml:space="preserve">• Honeypot Daemons: </w:t>
      </w:r>
      <w:r>
        <w:t>Cowrie (latest Docker image), Dionaea (latest DinoTools image), Custom Decoy (Python 3.10 sockets), Attack-Target (Flask 3.1.3).</w:t>
        <w:br/>
      </w:r>
      <w:r>
        <w:rPr>
          <w:b/>
        </w:rPr>
        <w:t xml:space="preserve">• AI &amp; Embedding Models: </w:t>
      </w:r>
      <w:r>
        <w:t>Google Gemini 2.5 Flash API / Anthropic Claude 3 Haiku API, sentence-transformers all-MiniLM-L6-v2 (384-dim), FAISS-CPU 1.8+.</w:t>
        <w:br/>
      </w:r>
      <w:r>
        <w:rPr>
          <w:b/>
        </w:rPr>
        <w:t xml:space="preserve">• Operator Dashboard: </w:t>
      </w:r>
      <w:r>
        <w:t>React 18.2.0, Vite 5.1.0, Lucide-React 0.330.0, Recharts 2.15.4, Vanilla CSS (dashboard/package.json).</w:t>
        <w:br/>
      </w:r>
      <w:r>
        <w:rPr>
          <w:b/>
        </w:rPr>
        <w:t xml:space="preserve">• Reproducibility Instructions: </w:t>
      </w:r>
      <w:r>
        <w:t>The complete environment can be launched using 'docker compose up -d'. Automated unit tests are executed using 'pytest'. The attack harness is executed within the attacker container via 'docker compose exec attacker bash /opt/attack/scripts/full-attack.sh'.</w:t>
      </w:r>
    </w:p>
    <w:p>
      <w:pPr>
        <w:spacing w:before="280" w:after="80"/>
      </w:pPr>
      <w:r>
        <w:rPr>
          <w:b/>
          <w:color w:val="1B365D"/>
          <w:sz w:val="27"/>
        </w:rPr>
        <w:t>6. Evaluation</w:t>
      </w:r>
    </w:p>
    <w:p>
      <w:r>
        <w:t>In accordance with strict empirical integrity, we evaluate DeceptionNet exclusively against executed unit-test suites, a live Docker network case study, and an in-memory rule table microbenchmark. We make no claims of field deployment, detection accuracy over wild attackers, or superior detection performance relative to external commercial tools.</w:t>
      </w:r>
    </w:p>
    <w:p>
      <w:pPr>
        <w:spacing w:before="200" w:after="60"/>
      </w:pPr>
      <w:r>
        <w:rPr>
          <w:b/>
          <w:color w:val="2E5B88"/>
          <w:sz w:val="23"/>
        </w:rPr>
        <w:t>6.1 Automated Unit-Test Suite</w:t>
      </w:r>
    </w:p>
    <w:p>
      <w:r>
        <w:t>Platform logic is verified by an 84-test automated pytest suite in core-api/tests. All 84 tests pass with zero failures. The per-file test breakdown is summarized in Table I:</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9"/>
              </w:rPr>
              <w:t>Test Module</w:t>
            </w:r>
          </w:p>
        </w:tc>
        <w:tc>
          <w:tcPr>
            <w:tcW w:type="dxa" w:w="3120"/>
            <w:shd w:val="clear" w:color="auto" w:fill="1B365D"/>
          </w:tcPr>
          <w:p>
            <w:r>
              <w:rPr>
                <w:b/>
                <w:color w:val="FFFFFF"/>
                <w:sz w:val="19"/>
              </w:rPr>
              <w:t>Focus / Verified Behavioral Invariants</w:t>
            </w:r>
          </w:p>
        </w:tc>
        <w:tc>
          <w:tcPr>
            <w:tcW w:type="dxa" w:w="3120"/>
            <w:shd w:val="clear" w:color="auto" w:fill="1B365D"/>
          </w:tcPr>
          <w:p>
            <w:r>
              <w:rPr>
                <w:b/>
                <w:color w:val="FFFFFF"/>
                <w:sz w:val="19"/>
              </w:rPr>
              <w:t>Pass Count</w:t>
            </w:r>
          </w:p>
        </w:tc>
      </w:tr>
      <w:tr>
        <w:tc>
          <w:tcPr>
            <w:tcW w:type="dxa" w:w="3120"/>
            <w:tcMar>
              <w:top w:w="80" w:type="dxa"/>
              <w:bottom w:w="80" w:type="dxa"/>
              <w:left w:w="120" w:type="dxa"/>
              <w:right w:w="120" w:type="dxa"/>
            </w:tcMar>
            <w:shd w:val="clear" w:color="auto" w:fill="F9FAFC"/>
          </w:tcPr>
          <w:p>
            <w:r>
              <w:rPr>
                <w:sz w:val="18"/>
              </w:rPr>
              <w:t>core-api/tests/test_mitre.py</w:t>
            </w:r>
          </w:p>
        </w:tc>
        <w:tc>
          <w:tcPr>
            <w:tcW w:type="dxa" w:w="3120"/>
            <w:tcMar>
              <w:top w:w="80" w:type="dxa"/>
              <w:bottom w:w="80" w:type="dxa"/>
              <w:left w:w="120" w:type="dxa"/>
              <w:right w:w="120" w:type="dxa"/>
            </w:tcMar>
            <w:shd w:val="clear" w:color="auto" w:fill="F9FAFC"/>
          </w:tcPr>
          <w:p>
            <w:r>
              <w:rPr>
                <w:sz w:val="18"/>
              </w:rPr>
              <w:t>Rule table dimensions, ATT&amp;CK ID formats, keyword word-boundaries, event-type precedence</w:t>
            </w:r>
          </w:p>
        </w:tc>
        <w:tc>
          <w:tcPr>
            <w:tcW w:type="dxa" w:w="3120"/>
            <w:tcMar>
              <w:top w:w="80" w:type="dxa"/>
              <w:bottom w:w="80" w:type="dxa"/>
              <w:left w:w="120" w:type="dxa"/>
              <w:right w:w="120" w:type="dxa"/>
            </w:tcMar>
            <w:shd w:val="clear" w:color="auto" w:fill="F9FAFC"/>
          </w:tcPr>
          <w:p>
            <w:r>
              <w:rPr>
                <w:sz w:val="18"/>
              </w:rPr>
              <w:t>61 passed</w:t>
            </w:r>
          </w:p>
        </w:tc>
      </w:tr>
      <w:tr>
        <w:tc>
          <w:tcPr>
            <w:tcW w:type="dxa" w:w="3120"/>
            <w:tcMar>
              <w:top w:w="80" w:type="dxa"/>
              <w:bottom w:w="80" w:type="dxa"/>
              <w:left w:w="120" w:type="dxa"/>
              <w:right w:w="120" w:type="dxa"/>
            </w:tcMar>
          </w:tcPr>
          <w:p>
            <w:r>
              <w:rPr>
                <w:sz w:val="18"/>
              </w:rPr>
              <w:t>core-api/tests/test_correlation.py</w:t>
            </w:r>
          </w:p>
        </w:tc>
        <w:tc>
          <w:tcPr>
            <w:tcW w:type="dxa" w:w="3120"/>
            <w:tcMar>
              <w:top w:w="80" w:type="dxa"/>
              <w:bottom w:w="80" w:type="dxa"/>
              <w:left w:w="120" w:type="dxa"/>
              <w:right w:w="120" w:type="dxa"/>
            </w:tcMar>
          </w:tcPr>
          <w:p>
            <w:r>
              <w:rPr>
                <w:sz w:val="18"/>
              </w:rPr>
              <w:t>Sliding-window bounds, cross-honeypot fusion, intra-honeypot isolation, concurrent savepoints</w:t>
            </w:r>
          </w:p>
        </w:tc>
        <w:tc>
          <w:tcPr>
            <w:tcW w:type="dxa" w:w="3120"/>
            <w:tcMar>
              <w:top w:w="80" w:type="dxa"/>
              <w:bottom w:w="80" w:type="dxa"/>
              <w:left w:w="120" w:type="dxa"/>
              <w:right w:w="120" w:type="dxa"/>
            </w:tcMar>
          </w:tcPr>
          <w:p>
            <w:r>
              <w:rPr>
                <w:sz w:val="18"/>
              </w:rPr>
              <w:t>12 passed</w:t>
            </w:r>
          </w:p>
        </w:tc>
      </w:tr>
      <w:tr>
        <w:tc>
          <w:tcPr>
            <w:tcW w:type="dxa" w:w="3120"/>
            <w:tcMar>
              <w:top w:w="80" w:type="dxa"/>
              <w:bottom w:w="80" w:type="dxa"/>
              <w:left w:w="120" w:type="dxa"/>
              <w:right w:w="120" w:type="dxa"/>
            </w:tcMar>
            <w:shd w:val="clear" w:color="auto" w:fill="F9FAFC"/>
          </w:tcPr>
          <w:p>
            <w:r>
              <w:rPr>
                <w:sz w:val="18"/>
              </w:rPr>
              <w:t>core-api/tests/test_scoring.py</w:t>
            </w:r>
          </w:p>
        </w:tc>
        <w:tc>
          <w:tcPr>
            <w:tcW w:type="dxa" w:w="3120"/>
            <w:tcMar>
              <w:top w:w="80" w:type="dxa"/>
              <w:bottom w:w="80" w:type="dxa"/>
              <w:left w:w="120" w:type="dxa"/>
              <w:right w:w="120" w:type="dxa"/>
            </w:tcMar>
            <w:shd w:val="clear" w:color="auto" w:fill="F9FAFC"/>
          </w:tcPr>
          <w:p>
            <w:r>
              <w:rPr>
                <w:sz w:val="18"/>
              </w:rPr>
              <w:t>Monotonic severity accumulation, noise filtering, incremental vs bulk score equivalence</w:t>
            </w:r>
          </w:p>
        </w:tc>
        <w:tc>
          <w:tcPr>
            <w:tcW w:type="dxa" w:w="3120"/>
            <w:tcMar>
              <w:top w:w="80" w:type="dxa"/>
              <w:bottom w:w="80" w:type="dxa"/>
              <w:left w:w="120" w:type="dxa"/>
              <w:right w:w="120" w:type="dxa"/>
            </w:tcMar>
            <w:shd w:val="clear" w:color="auto" w:fill="F9FAFC"/>
          </w:tcPr>
          <w:p>
            <w:r>
              <w:rPr>
                <w:sz w:val="18"/>
              </w:rPr>
              <w:t>9 passed</w:t>
            </w:r>
          </w:p>
        </w:tc>
      </w:tr>
      <w:tr>
        <w:tc>
          <w:tcPr>
            <w:tcW w:type="dxa" w:w="3120"/>
            <w:tcMar>
              <w:top w:w="80" w:type="dxa"/>
              <w:bottom w:w="80" w:type="dxa"/>
              <w:left w:w="120" w:type="dxa"/>
              <w:right w:w="120" w:type="dxa"/>
            </w:tcMar>
          </w:tcPr>
          <w:p>
            <w:r>
              <w:rPr>
                <w:sz w:val="18"/>
              </w:rPr>
              <w:t>core-api/tests/test_evaluation_benchmark.py</w:t>
            </w:r>
          </w:p>
        </w:tc>
        <w:tc>
          <w:tcPr>
            <w:tcW w:type="dxa" w:w="3120"/>
            <w:tcMar>
              <w:top w:w="80" w:type="dxa"/>
              <w:bottom w:w="80" w:type="dxa"/>
              <w:left w:w="120" w:type="dxa"/>
              <w:right w:w="120" w:type="dxa"/>
            </w:tcMar>
          </w:tcPr>
          <w:p>
            <w:r>
              <w:rPr>
                <w:sz w:val="18"/>
              </w:rPr>
              <w:t>Benchmark schema validation, representative attack sequence mapping, NAT isolation</w:t>
            </w:r>
          </w:p>
        </w:tc>
        <w:tc>
          <w:tcPr>
            <w:tcW w:type="dxa" w:w="3120"/>
            <w:tcMar>
              <w:top w:w="80" w:type="dxa"/>
              <w:bottom w:w="80" w:type="dxa"/>
              <w:left w:w="120" w:type="dxa"/>
              <w:right w:w="120" w:type="dxa"/>
            </w:tcMar>
          </w:tcPr>
          <w:p>
            <w:r>
              <w:rPr>
                <w:sz w:val="18"/>
              </w:rPr>
              <w:t>2 passed</w:t>
            </w:r>
          </w:p>
        </w:tc>
      </w:tr>
      <w:tr>
        <w:tc>
          <w:tcPr>
            <w:tcW w:type="dxa" w:w="3120"/>
            <w:tcMar>
              <w:top w:w="80" w:type="dxa"/>
              <w:bottom w:w="80" w:type="dxa"/>
              <w:left w:w="120" w:type="dxa"/>
              <w:right w:w="120" w:type="dxa"/>
            </w:tcMar>
            <w:shd w:val="clear" w:color="auto" w:fill="E8EEF5"/>
          </w:tcPr>
          <w:p>
            <w:r>
              <w:rPr>
                <w:b/>
                <w:sz w:val="18"/>
              </w:rPr>
              <w:t>Total Verification Suite</w:t>
            </w:r>
          </w:p>
        </w:tc>
        <w:tc>
          <w:tcPr>
            <w:tcW w:type="dxa" w:w="3120"/>
            <w:tcMar>
              <w:top w:w="80" w:type="dxa"/>
              <w:bottom w:w="80" w:type="dxa"/>
              <w:left w:w="120" w:type="dxa"/>
              <w:right w:w="120" w:type="dxa"/>
            </w:tcMar>
            <w:shd w:val="clear" w:color="auto" w:fill="E8EEF5"/>
          </w:tcPr>
          <w:p>
            <w:r>
              <w:rPr>
                <w:b/>
                <w:sz w:val="18"/>
              </w:rPr>
              <w:t>Comprehensive verification across all core-api platform subsystems</w:t>
            </w:r>
          </w:p>
        </w:tc>
        <w:tc>
          <w:tcPr>
            <w:tcW w:type="dxa" w:w="3120"/>
            <w:tcMar>
              <w:top w:w="80" w:type="dxa"/>
              <w:bottom w:w="80" w:type="dxa"/>
              <w:left w:w="120" w:type="dxa"/>
              <w:right w:w="120" w:type="dxa"/>
            </w:tcMar>
            <w:shd w:val="clear" w:color="auto" w:fill="E8EEF5"/>
          </w:tcPr>
          <w:p>
            <w:r>
              <w:rPr>
                <w:b/>
                <w:sz w:val="18"/>
              </w:rPr>
              <w:t>84 passed (100%)</w:t>
            </w:r>
          </w:p>
        </w:tc>
      </w:tr>
    </w:tbl>
    <w:p>
      <w:pPr>
        <w:spacing w:after="160"/>
      </w:pPr>
    </w:p>
    <w:p>
      <w:pPr>
        <w:spacing w:before="200" w:after="60"/>
      </w:pPr>
      <w:r>
        <w:rPr>
          <w:b/>
          <w:color w:val="2E5B88"/>
          <w:sz w:val="23"/>
        </w:rPr>
        <w:t>6.2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 and documented in the supplementary Claim Ledger (docs/CLAIM_LEDGER.md).</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II.</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8"/>
              </w:rPr>
              <w:t>Step</w:t>
            </w:r>
          </w:p>
        </w:tc>
        <w:tc>
          <w:tcPr>
            <w:tcW w:type="dxa" w:w="1337"/>
            <w:shd w:val="clear" w:color="auto" w:fill="1B365D"/>
          </w:tcPr>
          <w:p>
            <w:r>
              <w:rPr>
                <w:b/>
                <w:color w:val="FFFFFF"/>
                <w:sz w:val="18"/>
              </w:rPr>
              <w:t>Stage</w:t>
            </w:r>
          </w:p>
        </w:tc>
        <w:tc>
          <w:tcPr>
            <w:tcW w:type="dxa" w:w="1337"/>
            <w:shd w:val="clear" w:color="auto" w:fill="1B365D"/>
          </w:tcPr>
          <w:p>
            <w:r>
              <w:rPr>
                <w:b/>
                <w:color w:val="FFFFFF"/>
                <w:sz w:val="18"/>
              </w:rPr>
              <w:t>Payload / Action</w:t>
            </w:r>
          </w:p>
        </w:tc>
        <w:tc>
          <w:tcPr>
            <w:tcW w:type="dxa" w:w="1337"/>
            <w:shd w:val="clear" w:color="auto" w:fill="1B365D"/>
          </w:tcPr>
          <w:p>
            <w:r>
              <w:rPr>
                <w:b/>
                <w:color w:val="FFFFFF"/>
                <w:sz w:val="18"/>
              </w:rPr>
              <w:t>Event</w:t>
            </w:r>
          </w:p>
        </w:tc>
        <w:tc>
          <w:tcPr>
            <w:tcW w:type="dxa" w:w="1337"/>
            <w:shd w:val="clear" w:color="auto" w:fill="1B365D"/>
          </w:tcPr>
          <w:p>
            <w:r>
              <w:rPr>
                <w:b/>
                <w:color w:val="FFFFFF"/>
                <w:sz w:val="18"/>
              </w:rPr>
              <w:t>ATT&amp;CK Technique</w:t>
            </w:r>
          </w:p>
        </w:tc>
        <w:tc>
          <w:tcPr>
            <w:tcW w:type="dxa" w:w="1337"/>
            <w:shd w:val="clear" w:color="auto" w:fill="1B365D"/>
          </w:tcPr>
          <w:p>
            <w:r>
              <w:rPr>
                <w:b/>
                <w:color w:val="FFFFFF"/>
                <w:sz w:val="18"/>
              </w:rPr>
              <w:t>Weight</w:t>
            </w:r>
          </w:p>
        </w:tc>
        <w:tc>
          <w:tcPr>
            <w:tcW w:type="dxa" w:w="1337"/>
            <w:shd w:val="clear" w:color="auto" w:fill="1B365D"/>
          </w:tcPr>
          <w:p>
            <w:r>
              <w:rPr>
                <w:b/>
                <w:color w:val="FFFFFF"/>
                <w:sz w:val="18"/>
              </w:rPr>
              <w:t>Score</w:t>
            </w:r>
          </w:p>
        </w:tc>
      </w:tr>
      <w:tr>
        <w:tc>
          <w:tcPr>
            <w:tcW w:type="dxa" w:w="1337"/>
            <w:tcMar>
              <w:top w:w="70" w:type="dxa"/>
              <w:bottom w:w="70" w:type="dxa"/>
              <w:left w:w="100" w:type="dxa"/>
              <w:right w:w="100" w:type="dxa"/>
            </w:tcMar>
            <w:shd w:val="clear" w:color="auto" w:fill="F9FAFC"/>
          </w:tcPr>
          <w:p>
            <w:r>
              <w:rPr>
                <w:sz w:val="17"/>
              </w:rPr>
              <w:t>1</w:t>
            </w:r>
          </w:p>
        </w:tc>
        <w:tc>
          <w:tcPr>
            <w:tcW w:type="dxa" w:w="1337"/>
            <w:tcMar>
              <w:top w:w="70" w:type="dxa"/>
              <w:bottom w:w="70" w:type="dxa"/>
              <w:left w:w="100" w:type="dxa"/>
              <w:right w:w="100" w:type="dxa"/>
            </w:tcMar>
            <w:shd w:val="clear" w:color="auto" w:fill="F9FAFC"/>
          </w:tcPr>
          <w:p>
            <w:r>
              <w:rPr>
                <w:sz w:val="17"/>
              </w:rPr>
              <w:t>1. SQLi Login Bypass</w:t>
            </w:r>
          </w:p>
        </w:tc>
        <w:tc>
          <w:tcPr>
            <w:tcW w:type="dxa" w:w="1337"/>
            <w:tcMar>
              <w:top w:w="70" w:type="dxa"/>
              <w:bottom w:w="70" w:type="dxa"/>
              <w:left w:w="100" w:type="dxa"/>
              <w:right w:w="100" w:type="dxa"/>
            </w:tcMar>
            <w:shd w:val="clear" w:color="auto" w:fill="F9FAFC"/>
          </w:tcPr>
          <w:p>
            <w:r>
              <w:rPr>
                <w:sz w:val="17"/>
              </w:rPr>
              <w:t>admin'-- on /login</w:t>
            </w:r>
          </w:p>
        </w:tc>
        <w:tc>
          <w:tcPr>
            <w:tcW w:type="dxa" w:w="1337"/>
            <w:tcMar>
              <w:top w:w="70" w:type="dxa"/>
              <w:bottom w:w="70" w:type="dxa"/>
              <w:left w:w="100" w:type="dxa"/>
              <w:right w:w="100" w:type="dxa"/>
            </w:tcMar>
            <w:shd w:val="clear" w:color="auto" w:fill="F9FAFC"/>
          </w:tcPr>
          <w:p>
            <w:r>
              <w:rPr>
                <w:sz w:val="17"/>
              </w:rPr>
              <w:t>sqli</w:t>
            </w:r>
          </w:p>
        </w:tc>
        <w:tc>
          <w:tcPr>
            <w:tcW w:type="dxa" w:w="1337"/>
            <w:tcMar>
              <w:top w:w="70" w:type="dxa"/>
              <w:bottom w:w="70" w:type="dxa"/>
              <w:left w:w="100" w:type="dxa"/>
              <w:right w:w="100" w:type="dxa"/>
            </w:tcMar>
            <w:shd w:val="clear" w:color="auto" w:fill="F9FAFC"/>
          </w:tcPr>
          <w:p>
            <w:r>
              <w:rPr>
                <w:sz w:val="17"/>
              </w:rPr>
              <w:t>T1190 Exploit Public-Facing App</w:t>
            </w:r>
          </w:p>
        </w:tc>
        <w:tc>
          <w:tcPr>
            <w:tcW w:type="dxa" w:w="1337"/>
            <w:tcMar>
              <w:top w:w="70" w:type="dxa"/>
              <w:bottom w:w="70" w:type="dxa"/>
              <w:left w:w="100" w:type="dxa"/>
              <w:right w:w="100" w:type="dxa"/>
            </w:tcMar>
            <w:shd w:val="clear" w:color="auto" w:fill="F9FAFC"/>
          </w:tcPr>
          <w:p>
            <w:r>
              <w:rPr>
                <w:sz w:val="17"/>
              </w:rPr>
              <w:t>4.0</w:t>
            </w:r>
          </w:p>
        </w:tc>
        <w:tc>
          <w:tcPr>
            <w:tcW w:type="dxa" w:w="1337"/>
            <w:tcMar>
              <w:top w:w="70" w:type="dxa"/>
              <w:bottom w:w="70" w:type="dxa"/>
              <w:left w:w="100" w:type="dxa"/>
              <w:right w:w="100" w:type="dxa"/>
            </w:tcMar>
            <w:shd w:val="clear" w:color="auto" w:fill="F9FAFC"/>
          </w:tcPr>
          <w:p>
            <w:r>
              <w:rPr>
                <w:sz w:val="17"/>
              </w:rPr>
              <w:t>4.0</w:t>
            </w:r>
          </w:p>
        </w:tc>
      </w:tr>
      <w:tr>
        <w:tc>
          <w:tcPr>
            <w:tcW w:type="dxa" w:w="1337"/>
            <w:tcMar>
              <w:top w:w="70" w:type="dxa"/>
              <w:bottom w:w="70" w:type="dxa"/>
              <w:left w:w="100" w:type="dxa"/>
              <w:right w:w="100" w:type="dxa"/>
            </w:tcMar>
          </w:tcPr>
          <w:p>
            <w:r>
              <w:rPr>
                <w:sz w:val="17"/>
              </w:rPr>
              <w:t>2</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whoami</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T1033 System Owner/User Discovery</w:t>
            </w:r>
          </w:p>
        </w:tc>
        <w:tc>
          <w:tcPr>
            <w:tcW w:type="dxa" w:w="1337"/>
            <w:tcMar>
              <w:top w:w="70" w:type="dxa"/>
              <w:bottom w:w="70" w:type="dxa"/>
              <w:left w:w="100" w:type="dxa"/>
              <w:right w:w="100" w:type="dxa"/>
            </w:tcMar>
          </w:tcPr>
          <w:p>
            <w:r>
              <w:rPr>
                <w:sz w:val="17"/>
              </w:rPr>
              <w:t>1.0</w:t>
            </w:r>
          </w:p>
        </w:tc>
        <w:tc>
          <w:tcPr>
            <w:tcW w:type="dxa" w:w="1337"/>
            <w:tcMar>
              <w:top w:w="70" w:type="dxa"/>
              <w:bottom w:w="70" w:type="dxa"/>
              <w:left w:w="100" w:type="dxa"/>
              <w:right w:w="100" w:type="dxa"/>
            </w:tcMar>
          </w:tcPr>
          <w:p>
            <w:r>
              <w:rPr>
                <w:sz w:val="17"/>
              </w:rPr>
              <w:t>5.0</w:t>
            </w:r>
          </w:p>
        </w:tc>
      </w:tr>
      <w:tr>
        <w:tc>
          <w:tcPr>
            <w:tcW w:type="dxa" w:w="1337"/>
            <w:tcMar>
              <w:top w:w="70" w:type="dxa"/>
              <w:bottom w:w="70" w:type="dxa"/>
              <w:left w:w="100" w:type="dxa"/>
              <w:right w:w="100" w:type="dxa"/>
            </w:tcMar>
            <w:shd w:val="clear" w:color="auto" w:fill="F9FAFC"/>
          </w:tcPr>
          <w:p>
            <w:r>
              <w:rPr>
                <w:sz w:val="17"/>
              </w:rPr>
              <w:t>3</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-c 1 127.0.0.1; uname -a</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T1082 System Information Discovery</w:t>
            </w:r>
          </w:p>
        </w:tc>
        <w:tc>
          <w:tcPr>
            <w:tcW w:type="dxa" w:w="1337"/>
            <w:tcMar>
              <w:top w:w="70" w:type="dxa"/>
              <w:bottom w:w="70" w:type="dxa"/>
              <w:left w:w="100" w:type="dxa"/>
              <w:right w:w="100" w:type="dxa"/>
            </w:tcMar>
            <w:shd w:val="clear" w:color="auto" w:fill="F9FAFC"/>
          </w:tcPr>
          <w:p>
            <w:r>
              <w:rPr>
                <w:sz w:val="17"/>
              </w:rPr>
              <w:t>1.0</w:t>
            </w:r>
          </w:p>
        </w:tc>
        <w:tc>
          <w:tcPr>
            <w:tcW w:type="dxa" w:w="1337"/>
            <w:tcMar>
              <w:top w:w="70" w:type="dxa"/>
              <w:bottom w:w="70" w:type="dxa"/>
              <w:left w:w="100" w:type="dxa"/>
              <w:right w:w="100" w:type="dxa"/>
            </w:tcMar>
            <w:shd w:val="clear" w:color="auto" w:fill="F9FAFC"/>
          </w:tcPr>
          <w:p>
            <w:r>
              <w:rPr>
                <w:sz w:val="17"/>
              </w:rPr>
              <w:t>6.0</w:t>
            </w:r>
          </w:p>
        </w:tc>
      </w:tr>
      <w:tr>
        <w:tc>
          <w:tcPr>
            <w:tcW w:type="dxa" w:w="1337"/>
            <w:tcMar>
              <w:top w:w="70" w:type="dxa"/>
              <w:bottom w:w="70" w:type="dxa"/>
              <w:left w:w="100" w:type="dxa"/>
              <w:right w:w="100" w:type="dxa"/>
            </w:tcMar>
          </w:tcPr>
          <w:p>
            <w:r>
              <w:rPr>
                <w:sz w:val="17"/>
              </w:rPr>
              <w:t>4</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cat /etc/passwd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11.0</w:t>
            </w:r>
          </w:p>
        </w:tc>
      </w:tr>
      <w:tr>
        <w:tc>
          <w:tcPr>
            <w:tcW w:type="dxa" w:w="1337"/>
            <w:tcMar>
              <w:top w:w="70" w:type="dxa"/>
              <w:bottom w:w="70" w:type="dxa"/>
              <w:left w:w="100" w:type="dxa"/>
              <w:right w:w="100" w:type="dxa"/>
            </w:tcMar>
            <w:shd w:val="clear" w:color="auto" w:fill="F9FAFC"/>
          </w:tcPr>
          <w:p>
            <w:r>
              <w:rPr>
                <w:sz w:val="17"/>
              </w:rPr>
              <w:t>5</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 wget http://evil.example/malware.sh</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T1105 Ingress Tool Transfer</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14.0</w:t>
            </w:r>
          </w:p>
        </w:tc>
      </w:tr>
      <w:tr>
        <w:tc>
          <w:tcPr>
            <w:tcW w:type="dxa" w:w="1337"/>
            <w:tcMar>
              <w:top w:w="70" w:type="dxa"/>
              <w:bottom w:w="70" w:type="dxa"/>
              <w:left w:w="100" w:type="dxa"/>
              <w:right w:w="100" w:type="dxa"/>
            </w:tcMar>
          </w:tcPr>
          <w:p>
            <w:r>
              <w:rPr>
                <w:sz w:val="17"/>
              </w:rPr>
              <w:t>6</w:t>
            </w:r>
          </w:p>
        </w:tc>
        <w:tc>
          <w:tcPr>
            <w:tcW w:type="dxa" w:w="1337"/>
            <w:tcMar>
              <w:top w:w="70" w:type="dxa"/>
              <w:bottom w:w="70" w:type="dxa"/>
              <w:left w:w="100" w:type="dxa"/>
              <w:right w:w="100" w:type="dxa"/>
            </w:tcMar>
          </w:tcPr>
          <w:p>
            <w:r>
              <w:rPr>
                <w:sz w:val="17"/>
              </w:rPr>
              <w:t>4. Path Traversal</w:t>
            </w:r>
          </w:p>
        </w:tc>
        <w:tc>
          <w:tcPr>
            <w:tcW w:type="dxa" w:w="1337"/>
            <w:tcMar>
              <w:top w:w="70" w:type="dxa"/>
              <w:bottom w:w="70" w:type="dxa"/>
              <w:left w:w="100" w:type="dxa"/>
              <w:right w:w="100" w:type="dxa"/>
            </w:tcMar>
          </w:tcPr>
          <w:p>
            <w:r>
              <w:rPr>
                <w:sz w:val="17"/>
              </w:rPr>
              <w:t>cat /etc/passwd via /read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19.0</w:t>
            </w:r>
          </w:p>
        </w:tc>
      </w:tr>
      <w:tr>
        <w:tc>
          <w:tcPr>
            <w:tcW w:type="dxa" w:w="1337"/>
            <w:tcMar>
              <w:top w:w="70" w:type="dxa"/>
              <w:bottom w:w="70" w:type="dxa"/>
              <w:left w:w="100" w:type="dxa"/>
              <w:right w:w="100" w:type="dxa"/>
            </w:tcMar>
            <w:shd w:val="clear" w:color="auto" w:fill="F9FAFC"/>
          </w:tcPr>
          <w:p>
            <w:r>
              <w:rPr>
                <w:sz w:val="17"/>
              </w:rPr>
              <w:t>7</w:t>
            </w:r>
          </w:p>
        </w:tc>
        <w:tc>
          <w:tcPr>
            <w:tcW w:type="dxa" w:w="1337"/>
            <w:tcMar>
              <w:top w:w="70" w:type="dxa"/>
              <w:bottom w:w="70" w:type="dxa"/>
              <w:left w:w="100" w:type="dxa"/>
              <w:right w:w="100" w:type="dxa"/>
            </w:tcMar>
            <w:shd w:val="clear" w:color="auto" w:fill="F9FAFC"/>
          </w:tcPr>
          <w:p>
            <w:r>
              <w:rPr>
                <w:sz w:val="17"/>
              </w:rPr>
              <w:t>4. Path Traversal</w:t>
            </w:r>
          </w:p>
        </w:tc>
        <w:tc>
          <w:tcPr>
            <w:tcW w:type="dxa" w:w="1337"/>
            <w:tcMar>
              <w:top w:w="70" w:type="dxa"/>
              <w:bottom w:w="70" w:type="dxa"/>
              <w:left w:w="100" w:type="dxa"/>
              <w:right w:w="100" w:type="dxa"/>
            </w:tcMar>
            <w:shd w:val="clear" w:color="auto" w:fill="F9FAFC"/>
          </w:tcPr>
          <w:p>
            <w:r>
              <w:rPr>
                <w:sz w:val="17"/>
              </w:rPr>
              <w:t>cat /var/etc/portal.conf via /read</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Unmapped (Background Noise)</w:t>
            </w:r>
          </w:p>
        </w:tc>
        <w:tc>
          <w:tcPr>
            <w:tcW w:type="dxa" w:w="1337"/>
            <w:tcMar>
              <w:top w:w="70" w:type="dxa"/>
              <w:bottom w:w="70" w:type="dxa"/>
              <w:left w:w="100" w:type="dxa"/>
              <w:right w:w="100" w:type="dxa"/>
            </w:tcMar>
            <w:shd w:val="clear" w:color="auto" w:fill="F9FAFC"/>
          </w:tcPr>
          <w:p>
            <w:r>
              <w:rPr>
                <w:sz w:val="17"/>
              </w:rPr>
              <w:t>0.0</w:t>
            </w:r>
          </w:p>
        </w:tc>
        <w:tc>
          <w:tcPr>
            <w:tcW w:type="dxa" w:w="1337"/>
            <w:tcMar>
              <w:top w:w="70" w:type="dxa"/>
              <w:bottom w:w="70" w:type="dxa"/>
              <w:left w:w="100" w:type="dxa"/>
              <w:right w:w="100" w:type="dxa"/>
            </w:tcMar>
            <w:shd w:val="clear" w:color="auto" w:fill="F9FAFC"/>
          </w:tcPr>
          <w:p>
            <w:r>
              <w:rPr>
                <w:sz w:val="17"/>
              </w:rPr>
              <w:t>19.0</w:t>
            </w:r>
          </w:p>
        </w:tc>
      </w:tr>
      <w:tr>
        <w:tc>
          <w:tcPr>
            <w:tcW w:type="dxa" w:w="1337"/>
            <w:tcMar>
              <w:top w:w="70" w:type="dxa"/>
              <w:bottom w:w="70" w:type="dxa"/>
              <w:left w:w="100" w:type="dxa"/>
              <w:right w:w="100" w:type="dxa"/>
            </w:tcMar>
          </w:tcPr>
          <w:p>
            <w:r>
              <w:rPr>
                <w:sz w:val="17"/>
              </w:rPr>
              <w:t>8</w:t>
            </w:r>
          </w:p>
        </w:tc>
        <w:tc>
          <w:tcPr>
            <w:tcW w:type="dxa" w:w="1337"/>
            <w:tcMar>
              <w:top w:w="70" w:type="dxa"/>
              <w:bottom w:w="70" w:type="dxa"/>
              <w:left w:w="100" w:type="dxa"/>
              <w:right w:w="100" w:type="dxa"/>
            </w:tcMar>
          </w:tcPr>
          <w:p>
            <w:r>
              <w:rPr>
                <w:sz w:val="17"/>
              </w:rPr>
              <w:t>5. Reflected XSS</w:t>
            </w:r>
          </w:p>
        </w:tc>
        <w:tc>
          <w:tcPr>
            <w:tcW w:type="dxa" w:w="1337"/>
            <w:tcMar>
              <w:top w:w="70" w:type="dxa"/>
              <w:bottom w:w="70" w:type="dxa"/>
              <w:left w:w="100" w:type="dxa"/>
              <w:right w:w="100" w:type="dxa"/>
            </w:tcMar>
          </w:tcPr>
          <w:p>
            <w:r>
              <w:rPr>
                <w:sz w:val="17"/>
              </w:rPr>
              <w:t>/search?q=&lt;script&gt;alert(1)&lt;/script&gt;</w:t>
            </w:r>
          </w:p>
        </w:tc>
        <w:tc>
          <w:tcPr>
            <w:tcW w:type="dxa" w:w="1337"/>
            <w:tcMar>
              <w:top w:w="70" w:type="dxa"/>
              <w:bottom w:w="70" w:type="dxa"/>
              <w:left w:w="100" w:type="dxa"/>
              <w:right w:w="100" w:type="dxa"/>
            </w:tcMar>
          </w:tcPr>
          <w:p>
            <w:r>
              <w:rPr>
                <w:sz w:val="17"/>
              </w:rPr>
              <w:t>http</w:t>
            </w:r>
          </w:p>
        </w:tc>
        <w:tc>
          <w:tcPr>
            <w:tcW w:type="dxa" w:w="1337"/>
            <w:tcMar>
              <w:top w:w="70" w:type="dxa"/>
              <w:bottom w:w="70" w:type="dxa"/>
              <w:left w:w="100" w:type="dxa"/>
              <w:right w:w="100" w:type="dxa"/>
            </w:tcMar>
          </w:tcPr>
          <w:p>
            <w:r>
              <w:rPr>
                <w:sz w:val="17"/>
              </w:rPr>
              <w:t>T1190 Exploit Public-Facing App</w:t>
            </w:r>
          </w:p>
        </w:tc>
        <w:tc>
          <w:tcPr>
            <w:tcW w:type="dxa" w:w="1337"/>
            <w:tcMar>
              <w:top w:w="70" w:type="dxa"/>
              <w:bottom w:w="70" w:type="dxa"/>
              <w:left w:w="100" w:type="dxa"/>
              <w:right w:w="100" w:type="dxa"/>
            </w:tcMar>
          </w:tcPr>
          <w:p>
            <w:r>
              <w:rPr>
                <w:sz w:val="17"/>
              </w:rPr>
              <w:t>4.0</w:t>
            </w:r>
          </w:p>
        </w:tc>
        <w:tc>
          <w:tcPr>
            <w:tcW w:type="dxa" w:w="1337"/>
            <w:tcMar>
              <w:top w:w="70" w:type="dxa"/>
              <w:bottom w:w="70" w:type="dxa"/>
              <w:left w:w="100" w:type="dxa"/>
              <w:right w:w="100" w:type="dxa"/>
            </w:tcMar>
          </w:tcPr>
          <w:p>
            <w:r>
              <w:rPr>
                <w:sz w:val="17"/>
              </w:rPr>
              <w:t>23.0</w:t>
            </w:r>
          </w:p>
        </w:tc>
      </w:tr>
      <w:tr>
        <w:tc>
          <w:tcPr>
            <w:tcW w:type="dxa" w:w="1337"/>
            <w:tcMar>
              <w:top w:w="70" w:type="dxa"/>
              <w:bottom w:w="70" w:type="dxa"/>
              <w:left w:w="100" w:type="dxa"/>
              <w:right w:w="100" w:type="dxa"/>
            </w:tcMar>
            <w:shd w:val="clear" w:color="auto" w:fill="F9FAFC"/>
          </w:tcPr>
          <w:p>
            <w:r>
              <w:rPr>
                <w:sz w:val="17"/>
              </w:rPr>
              <w:t>9</w:t>
            </w:r>
          </w:p>
        </w:tc>
        <w:tc>
          <w:tcPr>
            <w:tcW w:type="dxa" w:w="1337"/>
            <w:tcMar>
              <w:top w:w="70" w:type="dxa"/>
              <w:bottom w:w="70" w:type="dxa"/>
              <w:left w:w="100" w:type="dxa"/>
              <w:right w:w="100" w:type="dxa"/>
            </w:tcMar>
            <w:shd w:val="clear" w:color="auto" w:fill="F9FAFC"/>
          </w:tcPr>
          <w:p>
            <w:r>
              <w:rPr>
                <w:sz w:val="17"/>
              </w:rPr>
              <w:t>6. Web Shell Upload</w:t>
            </w:r>
          </w:p>
        </w:tc>
        <w:tc>
          <w:tcPr>
            <w:tcW w:type="dxa" w:w="1337"/>
            <w:tcMar>
              <w:top w:w="70" w:type="dxa"/>
              <w:bottom w:w="70" w:type="dxa"/>
              <w:left w:w="100" w:type="dxa"/>
              <w:right w:w="100" w:type="dxa"/>
            </w:tcMar>
            <w:shd w:val="clear" w:color="auto" w:fill="F9FAFC"/>
          </w:tcPr>
          <w:p>
            <w:r>
              <w:rPr>
                <w:sz w:val="17"/>
              </w:rPr>
              <w:t>shell.php (29 bytes) via /upload</w:t>
            </w:r>
          </w:p>
        </w:tc>
        <w:tc>
          <w:tcPr>
            <w:tcW w:type="dxa" w:w="1337"/>
            <w:tcMar>
              <w:top w:w="70" w:type="dxa"/>
              <w:bottom w:w="70" w:type="dxa"/>
              <w:left w:w="100" w:type="dxa"/>
              <w:right w:w="100" w:type="dxa"/>
            </w:tcMar>
            <w:shd w:val="clear" w:color="auto" w:fill="F9FAFC"/>
          </w:tcPr>
          <w:p>
            <w:r>
              <w:rPr>
                <w:sz w:val="17"/>
              </w:rPr>
              <w:t>file_upload</w:t>
            </w:r>
          </w:p>
        </w:tc>
        <w:tc>
          <w:tcPr>
            <w:tcW w:type="dxa" w:w="1337"/>
            <w:tcMar>
              <w:top w:w="70" w:type="dxa"/>
              <w:bottom w:w="70" w:type="dxa"/>
              <w:left w:w="100" w:type="dxa"/>
              <w:right w:w="100" w:type="dxa"/>
            </w:tcMar>
            <w:shd w:val="clear" w:color="auto" w:fill="F9FAFC"/>
          </w:tcPr>
          <w:p>
            <w:r>
              <w:rPr>
                <w:sz w:val="17"/>
              </w:rPr>
              <w:t>T1505.003 Web Shell</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26.0</w:t>
            </w:r>
          </w:p>
        </w:tc>
      </w:tr>
    </w:tbl>
    <w:p>
      <w:pPr>
        <w:spacing w:after="160"/>
      </w:pPr>
    </w:p>
    <w:p>
      <w:pPr>
        <w:spacing w:before="200" w:after="60"/>
      </w:pPr>
      <w:r>
        <w:rPr>
          <w:b/>
          <w:color w:val="2E5B88"/>
          <w:sz w:val="23"/>
        </w:rPr>
        <w:t>6.3 Rule Table Evaluation Latency Microbenchmark</w:t>
      </w:r>
    </w:p>
    <w:p>
      <w:r>
        <w:t>Scope &amp; Testbed Specification: To establish empirical timing boundaries for the deterministic rule engine, an automated microbenchmark script (scripts/benchmark_rule_latency.py) was executed. This is an in-memory microbenchmark measuring pure table and regex lookup execution via Python's high-resolution performance counter (time.perf_counter_ns); it explicitly excludes network transmission and database I/O latency. The microbenchmark was executed on a dedicated testbed host equipped with an 11th Gen Intel(R) Core(TM) i5-11320H processor @ 3.20GHz (4 physical cores, 8 logical threads), 8 GB RAM, running Microsoft Windows 11 (Build 26300) and Python 3.14.6 (64-bit).</w:t>
      </w:r>
    </w:p>
    <w:p>
      <w:r>
        <w:t>Microbenchmark Results: The evaluation executed 10,000 iterations across a representative corpus of 14 items comprising shell attack payloads, protocol actions, and unmapped background noise (140,000 total evaluations). The rule engine achieved a mean evaluation latency of 10.56 µs (0.01056 ms) with a standard deviation of 20.80 µs. The median latency was 2.50 µs, the 95th percentile was 34.10 µs, and the 99th percentile was 58.10 µs (0.0581 ms). Minimum observed latency was 0.20 µs, and maximum latency was 2,170.20 µs (2.17 ms). The full statistical breakdown is committed under results/rule_latency_benchmark.json.</w:t>
      </w:r>
    </w:p>
    <w:p>
      <w:pPr>
        <w:spacing w:before="280" w:after="80"/>
      </w:pPr>
      <w:r>
        <w:rPr>
          <w:b/>
          <w:color w:val="1B365D"/>
          <w:sz w:val="27"/>
        </w:rPr>
        <w:t>7.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br/>
      </w:r>
      <w:r>
        <w:rPr>
          <w:b/>
        </w:rPr>
        <w:t xml:space="preserve">6. Residual Passive Prompt Injection in Offline Summarization: </w:t>
      </w:r>
      <w:r>
        <w:t>Decoupling the LLM from interactive sockets prevents interactive session hijacking and runaway generation. However, because the offline summarization engine ingests attacker-controlled strings (e.g., HTTP user agents and shell parameters), the system remains susceptible to passive prompt injection and context contamination [9], [22] unless strict delimiter sanitization is applied.</w:t>
      </w:r>
    </w:p>
    <w:p>
      <w:pPr>
        <w:spacing w:before="280" w:after="80"/>
      </w:pPr>
      <w:r>
        <w:rPr>
          <w:b/>
          <w:color w:val="1B365D"/>
          <w:sz w:val="27"/>
        </w:rPr>
        <w:t>8. Conclusion and Future Work</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mitigates live prompt injection risks and interactive hallucinations while preserving deterministic attribution speed (microbenchmark mean: 10.56 µs). The platform's internal consistency is validated by an 84-test automated pytest suite, and its operational flow is demonstrated through a verified live Docker harness run capturing 14 events across 6 sessions (cumulative campaign severity: 26.0).</w:t>
      </w:r>
    </w:p>
    <w:p>
      <w:r>
        <w:t>Future work will focus on integrating automated shell de-obfuscation pre-processors, extending cross-honeypot correlation heuristics to accommodate IPv6 subnets, and investigating delimiter-hardened sanitization boundaries to protect post-capture LLM summarizers against passive prompt injection.</w:t>
      </w:r>
    </w:p>
    <w:p>
      <w:pPr>
        <w:spacing w:before="280" w:after="80"/>
      </w:pPr>
      <w:r>
        <w:rPr>
          <w:b/>
          <w:color w:val="1B365D"/>
          <w:sz w:val="27"/>
        </w:rPr>
        <w:t>Declarations</w:t>
      </w:r>
    </w:p>
    <w:p>
      <w:r>
        <w:rPr>
          <w:b/>
        </w:rPr>
        <w:t xml:space="preserve">• AI-Use Disclosure: </w:t>
      </w:r>
      <w:r>
        <w:t>During manuscript drafting, generative AI tools (Google Gemini and Anthropic Claude via the Antigravity coding environment) were utilized for drafting text, refining grammatical clarity, and structuring document formatting. All empirical claims, test counts, rule numbers, and case-study figures were independently executed, grounded against repository code, and verified against the supplementary Claim Ledger committed in docs/CLAIM_LEDGER.md.</w:t>
        <w:br/>
      </w:r>
      <w:r>
        <w:rPr>
          <w:b/>
        </w:rPr>
        <w:t xml:space="preserve">• Conflicts of Interest: </w:t>
      </w:r>
      <w:r>
        <w:t>The authors declare that they have no competing financial or non-financial interests that could have influenced this work.</w:t>
        <w:br/>
      </w:r>
      <w:r>
        <w:rPr>
          <w:b/>
        </w:rPr>
        <w:t xml:space="preserve">• Funding Statement: </w:t>
      </w:r>
      <w:r>
        <w:t>[NEED FROM AUTHOR: Funding sources or state 'This research received no external funding']</w:t>
        <w:br/>
      </w:r>
      <w:r>
        <w:rPr>
          <w:b/>
        </w:rPr>
        <w:t xml:space="preserve">• Data and Code Availability: </w:t>
      </w:r>
      <w:r>
        <w:t>All source code, Docker configurations, test suites, raw database dumps, and container execution logs are publicly available in the GitHub repository: https://github.com/Pi25sh/DeceptionNet (pinned commit c18885798469d798bd2533affad279724c4662ab).</w:t>
      </w:r>
    </w:p>
    <w:p>
      <w:pPr>
        <w:spacing w:before="280" w:after="80"/>
      </w:pPr>
      <w:r>
        <w:rPr>
          <w:b/>
          <w:color w:val="1B365D"/>
          <w:sz w:val="27"/>
        </w:rPr>
        <w:t>References</w:t>
      </w:r>
    </w:p>
    <w:p>
      <w:pPr>
        <w:spacing w:after="80"/>
        <w:ind w:left="432" w:hanging="432"/>
      </w:pPr>
      <w:r>
        <w:rPr>
          <w:sz w:val="19"/>
        </w:rPr>
        <w:t>[1] L. Spitzner, Honeypots: Tracking Hackers. Boston, MA, USA: Addison-Wesley Professional, 2002. ISBN: 0-321-10895-7.</w:t>
      </w:r>
    </w:p>
    <w:p>
      <w:pPr>
        <w:spacing w:after="80"/>
        <w:ind w:left="432" w:hanging="432"/>
      </w:pPr>
      <w:r>
        <w:rPr>
          <w:sz w:val="19"/>
        </w:rPr>
        <w:t>[2] N. Provos and T. Holz, Virtual Honeypots: From Botnet Tracking to Intrusion Detection. Boston, MA, USA: Addison-Wesley Professional, 2007. ISBN: 978-0-321-33632-3.</w:t>
      </w:r>
    </w:p>
    <w:p>
      <w:pPr>
        <w:spacing w:after="80"/>
        <w:ind w:left="432" w:hanging="432"/>
      </w:pPr>
      <w:r>
        <w:rPr>
          <w:sz w:val="19"/>
        </w:rPr>
        <w:t>[3] D. Fraunholz, S. D. Anton, C. Lipps, D. Reti, D. Krohmer, F. Pohl, M. Tammen, and H. D. Schotten, "Demystifying deception technology: A survey," arXiv preprint arXiv:1804.06196, 2018. [Online]. Available: https://arxiv.org/abs/1804.06196</w:t>
      </w:r>
    </w:p>
    <w:p>
      <w:pPr>
        <w:spacing w:after="80"/>
        <w:ind w:left="432" w:hanging="432"/>
      </w:pPr>
      <w:r>
        <w:rPr>
          <w:sz w:val="19"/>
        </w:rPr>
        <w:t>[4] M. Oosterhof, "Cowrie: An SSH and Telnet honeypot designed to log brute force attacks and shell interaction," GitHub repository, 2014–2024. [Online]. Available: https://github.com/cowrie/cowrie</w:t>
      </w:r>
    </w:p>
    <w:p>
      <w:pPr>
        <w:spacing w:after="80"/>
        <w:ind w:left="432" w:hanging="432"/>
      </w:pPr>
      <w:r>
        <w:rPr>
          <w:sz w:val="19"/>
        </w:rPr>
        <w:t>[5] P. Baecher, M. Bächer, and T. Holz, "Dionaea: Catching malware with low-interaction honeypots," DinoTools, 2009–2024. [Online]. Available: https://github.com/DinoTools/dionaea</w:t>
      </w:r>
    </w:p>
    <w:p>
      <w:pPr>
        <w:spacing w:after="80"/>
        <w:ind w:left="432" w:hanging="432"/>
      </w:pPr>
      <w:r>
        <w:rPr>
          <w:sz w:val="19"/>
        </w:rPr>
        <w:t>[6] B. E. Strom, A. Applebaum, D. P. Miller, K. C. Nickels, A. G. Pennington, and C. B. Thomas, "MITRE ATT&amp;CK: Design and philosophy," The MITRE Corporation, Tech. Rep. MTR180175, Jul. 2018. [Online]. Available: https://www.mitre.org/news-insights/publication-library/mitre-attck-design-and-philosophy</w:t>
      </w:r>
    </w:p>
    <w:p>
      <w:pPr>
        <w:spacing w:after="80"/>
        <w:ind w:left="432" w:hanging="432"/>
      </w:pPr>
      <w:r>
        <w:rPr>
          <w:sz w:val="19"/>
        </w:rPr>
        <w:t>[7] Z. Wang, Z. Ding, X. Qin, Y. Fan, L. Sun, and M. Fan, "HoneyGPT: Breaking the trilemma in terminal honeypots with large language models," arXiv preprint arXiv:2406.01882, 2024. [Online]. Available: https://arxiv.org/abs/2406.01882</w:t>
      </w:r>
    </w:p>
    <w:p>
      <w:pPr>
        <w:spacing w:after="80"/>
        <w:ind w:left="432" w:hanging="432"/>
      </w:pPr>
      <w:r>
        <w:rPr>
          <w:sz w:val="19"/>
        </w:rPr>
        <w:t>[8] H. T. Otal and M. A. Canbaz, "LLM Honeypot: Leveraging large language models as advanced interactive honeypot systems," arXiv preprint arXiv:2409.08234, 2024. [Online]. Available: https://arxiv.org/abs/2409.08234</w:t>
      </w:r>
    </w:p>
    <w:p>
      <w:pPr>
        <w:spacing w:after="80"/>
        <w:ind w:left="432" w:hanging="432"/>
      </w:pPr>
      <w:r>
        <w:rPr>
          <w:sz w:val="19"/>
        </w:rPr>
        <w:t>[9] K. Greshake, S. Abdelnabi, S. Mishra, C. Endres, T. Holz, and M. Fritz, "Not what you've signed up for: Compromising real-world LLM-integrated applications with indirect prompt injection," in Proc. 16th ACM Workshop on Artificial Intelligence and Security (AISEC '23), co-located with ACM CCS, 2023, pp. 79–90. doi: 10.1145/3605764.3623985.</w:t>
      </w:r>
    </w:p>
    <w:p>
      <w:pPr>
        <w:spacing w:after="80"/>
        <w:ind w:left="432" w:hanging="432"/>
      </w:pPr>
      <w:r>
        <w:rPr>
          <w:sz w:val="19"/>
        </w:rPr>
        <w:t>[10] Z. Ji, N. Lee, R. Frieske, T. Yu, D. Su, Y. Xu, E. Ishii, Y. J. Bang, A. Madotto, and P. Fung, "Survey of hallucination in natural language generation," ACM Computing Surveys, vol. 55, no. 12, art. 248, pp. 1–38, Mar. 2023. doi: 10.1145/3571730.</w:t>
      </w:r>
    </w:p>
    <w:p>
      <w:pPr>
        <w:spacing w:after="80"/>
        <w:ind w:left="432" w:hanging="432"/>
      </w:pPr>
      <w:r>
        <w:rPr>
          <w:sz w:val="19"/>
        </w:rPr>
        <w:t>[11] D. Kang, X. Li, I. Stoica, C. Guestrin, M. Zaharia, and T. Hashimoto, "Exploiting programmatic behavior of LLMs: Dual-use through standard security attacks," in Proc. IEEE Security and Privacy Workshops (SPW '24), 2024, pp. 132–143. doi: 10.1109/SPW63631.2024.00018.</w:t>
      </w:r>
    </w:p>
    <w:p>
      <w:pPr>
        <w:spacing w:after="80"/>
        <w:ind w:left="432" w:hanging="432"/>
      </w:pPr>
      <w:r>
        <w:rPr>
          <w:sz w:val="19"/>
        </w:rPr>
        <w:t>[12] F. Cohen, "A note on the role of deception in information protection," Computers &amp; Security, vol. 17, no. 6, pp. 483–506, 1998. doi: 10.1016/S0167-4048(98)80071-0.</w:t>
      </w:r>
    </w:p>
    <w:p>
      <w:pPr>
        <w:spacing w:after="80"/>
        <w:ind w:left="432" w:hanging="432"/>
      </w:pPr>
      <w:r>
        <w:rPr>
          <w:sz w:val="19"/>
        </w:rPr>
        <w:t>[13] F. Cohen, "A mathematical structure of simple defensive network deceptions," Computers &amp; Security, vol. 19, no. 6, pp. 520–528, 2000. [Online]. Available: http://all.net/journal/deception/mathdeception/mathdeception.html</w:t>
      </w:r>
    </w:p>
    <w:p>
      <w:pPr>
        <w:spacing w:after="80"/>
        <w:ind w:left="432" w:hanging="432"/>
      </w:pPr>
      <w:r>
        <w:rPr>
          <w:sz w:val="19"/>
        </w:rPr>
        <w:t>[14] N. Provos, "A virtual honeypot framework," in Proc. 13th USENIX Security Symposium (USENIX Security '04), San Diego, CA, USA, Aug. 2004, pp. 1–14. [Online]. Available: https://www.usenix.org/legacy/event/sec04/tech/provos.html</w:t>
      </w:r>
    </w:p>
    <w:p>
      <w:pPr>
        <w:spacing w:after="80"/>
        <w:ind w:left="432" w:hanging="432"/>
      </w:pPr>
      <w:r>
        <w:rPr>
          <w:sz w:val="19"/>
        </w:rPr>
        <w:t>[15] T. Holz and F. Raynal, "Detecting honeypots and other suspicious environments," in Proc. 6th IEEE Information Assurance Workshop (IAW '05), West Point, NY, USA, Jun. 2005, pp. 29–36. doi: 10.1109/IAW.2005.1495930.</w:t>
      </w:r>
    </w:p>
    <w:p>
      <w:pPr>
        <w:spacing w:after="80"/>
        <w:ind w:left="432" w:hanging="432"/>
      </w:pPr>
      <w:r>
        <w:rPr>
          <w:sz w:val="19"/>
        </w:rPr>
        <w:t>[16] Telekom Security, "T-Pot: The all-in-one multi-honeypot platform," Deutsche Telekom AG, 2015–2024. [Online]. Available: https://github.com/telekom-security/tpotce</w:t>
      </w:r>
    </w:p>
    <w:p>
      <w:pPr>
        <w:spacing w:after="80"/>
        <w:ind w:left="432" w:hanging="432"/>
      </w:pPr>
      <w:r>
        <w:rPr>
          <w:sz w:val="19"/>
        </w:rPr>
        <w:t>[17] F. Valeur, G. Vigna, C. Kruegel, and R. A. Kemmerer, "A comprehensive approach to intrusion detection alert correlation," IEEE Transactions on Dependable and Secure Computing, vol. 1, no. 3, pp. 146–169, Jul.–Sep. 2004. doi: 10.1109/TDSC.2004.21.</w:t>
      </w:r>
    </w:p>
    <w:p>
      <w:pPr>
        <w:spacing w:after="80"/>
        <w:ind w:left="432" w:hanging="432"/>
      </w:pPr>
      <w:r>
        <w:rPr>
          <w:sz w:val="19"/>
        </w:rPr>
        <w:t>[18] P. Ning, Y. Cui, and D. S. Reeves, "Constructing attack scenarios through correlation of intrusion alerts," in Proc. 9th ACM Conference on Computer and Communications Security (CCS '02), Washington, DC, USA, Nov. 2002, pp. 245–254. doi: 10.1145/586110.586144.</w:t>
      </w:r>
    </w:p>
    <w:p>
      <w:pPr>
        <w:spacing w:after="80"/>
        <w:ind w:left="432" w:hanging="432"/>
      </w:pPr>
      <w:r>
        <w:rPr>
          <w:sz w:val="19"/>
        </w:rPr>
        <w:t>[19] R. Sadoddin and A. A. Ghorbani, "Alert correlation survey: Framework and techniques," in Proc. 2006 International Conference on Privacy, Security and Trust (PST '06), Markham, Ontario, Canada, Oct. 2006, art. 37, pp. 1–12. doi: 10.1145/1501434.1501479.</w:t>
      </w:r>
    </w:p>
    <w:p>
      <w:pPr>
        <w:spacing w:after="80"/>
        <w:ind w:left="432" w:hanging="432"/>
      </w:pPr>
      <w:r>
        <w:rPr>
          <w:sz w:val="19"/>
        </w:rPr>
        <w:t>[20] R. A. Bridges, T. R. Mitchell, M. Muñoz, and T. Henriksson, "SoK: Honeypots &amp; LLMs, more than the sum of their parts?" arXiv preprint arXiv:2510.25939, 2025. [Online]. Available: https://arxiv.org/abs/2510.25939</w:t>
      </w:r>
    </w:p>
    <w:p>
      <w:pPr>
        <w:spacing w:after="80"/>
        <w:ind w:left="432" w:hanging="432"/>
      </w:pPr>
      <w:r>
        <w:rPr>
          <w:sz w:val="19"/>
        </w:rPr>
        <w:t>[21] P. Lewis, E. Perez, A. Piktus, F. Petroni, V. Karpukhin, N. Goyal, H. Küttler, M. Lewis, W. Yih, T. Rocktäschel, S. Riedel, and D. Kiela, "Retrieval-augmented generation for knowledge-intensive NLP tasks," in Advances in Neural Information Processing Systems (NeurIPS 2020), vol. 33, 2020, pp. 9459–9474.</w:t>
      </w:r>
    </w:p>
    <w:p>
      <w:pPr>
        <w:spacing w:after="80"/>
        <w:ind w:left="432" w:hanging="432"/>
      </w:pPr>
      <w:r>
        <w:rPr>
          <w:sz w:val="19"/>
        </w:rPr>
        <w:t>[22] R. Karanjai, Y. Lu, H. H. Madhavarao, L. Xu, and W. Shi, "Context contamination in LLM analysis of network security logs: Poison with passive prompt injection and mitigation evaluation," arXiv preprint arXiv:2607.14493, 2026. [Online]. Available: https://arxiv.org/abs/2607.14493</w:t>
      </w:r>
    </w:p>
    <w:p>
      <w:pPr>
        <w:spacing w:after="80"/>
        <w:ind w:left="432" w:hanging="432"/>
      </w:pPr>
      <w:r>
        <w:rPr>
          <w:sz w:val="19"/>
        </w:rPr>
        <w:t>[23] The MITRE Corporation, "MITRE ATT&amp;CK Enterprise Matrix," Version 14.1, 2023. [Online]. Available: https://attack.mitre.org/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