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 w:val="0"/>
          <w:i w:val="0"/>
          <w:color w:val="1F4E78"/>
          <w:sz w:val="36"/>
        </w:rPr>
        <w:t>LIJST VAN ACRONYMEN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8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ACRONIEM</w:t>
            </w:r>
          </w:p>
        </w:tc>
        <w:tc>
          <w:tcPr>
            <w:tcW w:type="dxa" w:w="2160"/>
            <w:shd w:fill="1F4E78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BETEKENIS</w:t>
            </w:r>
          </w:p>
        </w:tc>
        <w:tc>
          <w:tcPr>
            <w:tcW w:type="dxa" w:w="2160"/>
            <w:shd w:fill="1F4E78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ACRONIEM</w:t>
            </w:r>
          </w:p>
        </w:tc>
        <w:tc>
          <w:tcPr>
            <w:tcW w:type="dxa" w:w="2160"/>
            <w:shd w:fill="1F4E78"/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BETEKENIS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AGRI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Directorate-General for Agriculture and Rural Development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ITU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International Telecommunications Union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AI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Kunstmatige intelligentie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JRC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Joint Research Centre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AR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Augmented Reality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JavaScript Object Notation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CNECT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Directorate-General for Communications Networks, Content and Technology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MR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Mixed Reality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DIGIT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Directorate-General for Digital Services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NQF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Nationaal kwalificatieraamwerk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EAC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Directorate-General for Education, Youth, Sport and Culture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OECD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Organisatie voor Economische Samenwerking en Ontwikkeling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EC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Europese Commissie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OER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Open leermaterialen (OER)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EMPL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Directorate-General for Employment, Social Affairs and Inclusion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REFORM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Reform and Investment Task Force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EQF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Europees kwalificatieraamwerk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SJ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 Service juridique (juridische dienst van de Europese Commissie)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ESTAT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Eurostat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STEM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Science, Technology, Engineering and Mathematics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EU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Europese Unie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UN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Verenigde Naties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EUIPO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European Union Intellectual Property Office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UNESCO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Organisatie der Verenigde Naties voor Onderwijs, Wetenschap en Cultuur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GDPR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Algemene Verordening Gegevensbescherming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VET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Middelbaar beroepsonderwijs (mbo)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ICILS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International Computer and Information Literacy Study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VR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Virtual Reality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ICT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Informatie- en communicatietechnologie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18"/>
              </w:rPr>
              <w:t>XR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Extended Reality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