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W w:w="5000" w:type="pct"/>
        <w:tblBorders>
          <w:left w:val="nil"/>
          <w:right w:val="nil"/>
          <w:insideV w:val="nil"/>
          <w:top w:val="single" w:sz="4" w:color="D9D9D9"/>
          <w:bottom w:val="single" w:sz="4" w:color="D9D9D9"/>
          <w:insideH w:val="single" w:sz="4" w:color="D9D9D9"/>
        </w:tblBorders>
      </w:tblPr>
      <w:tblGrid>
        <w:gridCol w:w="3627"/>
        <w:gridCol w:w="3627"/>
        <w:gridCol w:w="3627"/>
      </w:tblGrid>
      <w:tr>
        <w:tc>
          <w:tcPr>
            <w:tcW w:type="dxa" w:w="3627"/>
          </w:tcPr>
          <w:p>
            <w:r>
              <w:rPr>
                <w:rFonts w:ascii="Arial" w:hAnsi="Arial"/>
                <w:b/>
                <w:i w:val="0"/>
                <w:color w:val="2F5597"/>
                <w:sz w:val="18"/>
              </w:rPr>
              <w:t>GEBIED</w:t>
            </w:r>
          </w:p>
        </w:tc>
        <w:tc>
          <w:tcPr>
            <w:tcW w:type="dxa" w:w="3627"/>
          </w:tcPr>
          <w:p>
            <w:r>
              <w:rPr>
                <w:rFonts w:ascii="Arial" w:hAnsi="Arial"/>
                <w:b/>
                <w:i w:val="0"/>
                <w:color w:val="2F5597"/>
                <w:sz w:val="18"/>
              </w:rPr>
              <w:t>TITEL</w:t>
            </w:r>
          </w:p>
        </w:tc>
        <w:tc>
          <w:tcPr>
            <w:tcW w:type="dxa" w:w="3627"/>
          </w:tcPr>
          <w:p>
            <w:r>
              <w:rPr>
                <w:rFonts w:ascii="Arial" w:hAnsi="Arial"/>
                <w:b/>
                <w:i w:val="0"/>
                <w:color w:val="2F5597"/>
                <w:sz w:val="18"/>
              </w:rPr>
              <w:t>BESCHRIJVING</w:t>
            </w:r>
          </w:p>
        </w:tc>
      </w:tr>
      <w:tr>
        <w:tc>
          <w:tcPr>
            <w:tcW w:type="dxa" w:w="3627"/>
            <w:vMerge w:val="restart"/>
          </w:tcPr>
          <w:p/>
          <w:p>
            <w:r>
              <w:rPr>
                <w:rFonts w:ascii="Arial" w:hAnsi="Arial"/>
                <w:b/>
                <w:i w:val="0"/>
                <w:color w:val="FFC000"/>
                <w:sz w:val="18"/>
              </w:rPr>
              <w:t>1. INFORMATIE ZOEKEN, EVALUEREN EN BEHEREN</w:t>
            </w:r>
          </w:p>
          <w:p>
            <w:r>
              <w:rPr>
                <w:rFonts w:ascii="Arial" w:hAnsi="Arial"/>
                <w:b w:val="0"/>
                <w:i w:val="0"/>
                <w:color w:val="000000"/>
                <w:sz w:val="16"/>
              </w:rPr>
              <w:t>Het verwoorden van informatiebehoeften en het zoeken naar, vinden en opvragen van digitale informatie en content. Het beoordelen van de relevantie van de bron en de inhoud ervan in digitale omgevingen. Het kritisch beoordelen van digitale bronnen, content en de processen die worden gebruikt om deze te genereren. Het opslaan, beheren, organiseren en analyseren van digitale informatie en data.</w:t>
            </w:r>
          </w:p>
        </w:tc>
        <w:tc>
          <w:tcPr>
            <w:tcW w:type="dxa" w:w="3627"/>
          </w:tcPr>
          <w:p>
            <w:r>
              <w:rPr>
                <w:rFonts w:ascii="Arial" w:hAnsi="Arial"/>
                <w:b/>
                <w:i w:val="0"/>
                <w:color w:val="000000"/>
                <w:sz w:val="18"/>
              </w:rPr>
              <w:t>1.1 Browsen, zoeken en filteren van informatie</w:t>
            </w:r>
          </w:p>
        </w:tc>
        <w:tc>
          <w:tcPr>
            <w:tcW w:type="dxa" w:w="3627"/>
          </w:tcPr>
          <w:p>
            <w:r>
              <w:rPr>
                <w:rFonts w:ascii="Arial" w:hAnsi="Arial"/>
                <w:b w:val="0"/>
                <w:i w:val="0"/>
                <w:color w:val="000000"/>
                <w:sz w:val="18"/>
              </w:rPr>
              <w:t>Het verwoorden van informatiebehoeften, weten hoe en waar te zoeken naar informatie en content in digitale omgevingen, en hiertoe toegang verkrijgen en ertussen navigeren. Het selecteren van geschikte digitale tools om zoekopdrachten in digitale omgevingen te creëren, uit te voeren en bij te werken, en in staat zijn om onderscheid te maken tussen relevante en irrelevante informatie en content.</w:t>
            </w:r>
          </w:p>
        </w:tc>
      </w:tr>
      <w:tr>
        <w:tc>
          <w:tcPr>
            <w:tcW w:type="dxa" w:w="3627"/>
            <w:vMerge/>
          </w:tcPr>
          <w:p/>
        </w:tc>
        <w:tc>
          <w:tcPr>
            <w:tcW w:type="dxa" w:w="3627"/>
          </w:tcPr>
          <w:p>
            <w:r>
              <w:rPr>
                <w:rFonts w:ascii="Arial" w:hAnsi="Arial"/>
                <w:b/>
                <w:i w:val="0"/>
                <w:color w:val="000000"/>
                <w:sz w:val="18"/>
              </w:rPr>
              <w:t>1.2 Evalueren van informatie</w:t>
            </w:r>
          </w:p>
        </w:tc>
        <w:tc>
          <w:tcPr>
            <w:tcW w:type="dxa" w:w="3627"/>
          </w:tcPr>
          <w:p>
            <w:r>
              <w:rPr>
                <w:rFonts w:ascii="Arial" w:hAnsi="Arial"/>
                <w:b w:val="0"/>
                <w:i w:val="0"/>
                <w:color w:val="000000"/>
                <w:sz w:val="18"/>
              </w:rPr>
              <w:t>Het beoordelen en vergelijken van de geloofwaardigheid en betrouwbaarheid van bronnen van informatie en content in digitale omgevingen. Het interpreteren en kritisch beoordelen van informatie en content in digitale omgevingen en de processen die worden gebruikt om deze te genereren.</w:t>
            </w:r>
          </w:p>
        </w:tc>
      </w:tr>
      <w:tr>
        <w:tc>
          <w:tcPr>
            <w:tcW w:type="dxa" w:w="3627"/>
            <w:vMerge/>
          </w:tcPr>
          <w:p/>
        </w:tc>
        <w:tc>
          <w:tcPr>
            <w:tcW w:type="dxa" w:w="3627"/>
          </w:tcPr>
          <w:p>
            <w:r>
              <w:rPr>
                <w:rFonts w:ascii="Arial" w:hAnsi="Arial"/>
                <w:b/>
                <w:i w:val="0"/>
                <w:color w:val="000000"/>
                <w:sz w:val="18"/>
              </w:rPr>
              <w:t>1.3 Beheren van informatie</w:t>
            </w:r>
          </w:p>
        </w:tc>
        <w:tc>
          <w:tcPr>
            <w:tcW w:type="dxa" w:w="3627"/>
          </w:tcPr>
          <w:p>
            <w:r>
              <w:rPr>
                <w:rFonts w:ascii="Arial" w:hAnsi="Arial"/>
                <w:b w:val="0"/>
                <w:i w:val="0"/>
                <w:color w:val="000000"/>
                <w:sz w:val="18"/>
              </w:rPr>
              <w:t>Het ordenen, opslaan en opvragen van informatie en data in digitale omgevingen. Het verzamelen, verwerken en analyseren van informatie en data in gestructureerde digitale omgevingen.</w:t>
            </w:r>
          </w:p>
        </w:tc>
      </w:tr>
      <w:tr>
        <w:tc>
          <w:tcPr>
            <w:tcW w:type="dxa" w:w="3627"/>
            <w:vMerge w:val="restart"/>
          </w:tcPr>
          <w:p/>
          <w:p>
            <w:r>
              <w:rPr>
                <w:rFonts w:ascii="Arial" w:hAnsi="Arial"/>
                <w:b/>
                <w:i w:val="0"/>
                <w:color w:val="2F5597"/>
                <w:sz w:val="18"/>
              </w:rPr>
              <w:t>2. COMMUNICATIE EN SAMENWERKING</w:t>
            </w:r>
          </w:p>
          <w:p>
            <w:r>
              <w:rPr>
                <w:rFonts w:ascii="Arial" w:hAnsi="Arial"/>
                <w:b w:val="0"/>
                <w:i w:val="0"/>
                <w:color w:val="000000"/>
                <w:sz w:val="16"/>
              </w:rPr>
              <w:t>De interactie aangaan met anderen, delen, communiceren en samenwerken in digitale omgevingen, met aandacht voor culturele, generationele en andersoortige diversiteit en de kenmerken en beperkingen van digitale technologie. Het participeren in de samenleving via digitale technologie. Het opeisen van rechten en het maken van keuzes in digitale omgevingen. Het beheren van de eigen digitale aanwezigheid, identiteit en reputatie.</w:t>
            </w:r>
          </w:p>
        </w:tc>
        <w:tc>
          <w:tcPr>
            <w:tcW w:type="dxa" w:w="3627"/>
          </w:tcPr>
          <w:p>
            <w:r>
              <w:rPr>
                <w:rFonts w:ascii="Arial" w:hAnsi="Arial"/>
                <w:b/>
                <w:i w:val="0"/>
                <w:color w:val="000000"/>
                <w:sz w:val="18"/>
              </w:rPr>
              <w:t>2.1 Interactie via en met digitale technologie</w:t>
            </w:r>
          </w:p>
        </w:tc>
        <w:tc>
          <w:tcPr>
            <w:tcW w:type="dxa" w:w="3627"/>
          </w:tcPr>
          <w:p>
            <w:r>
              <w:rPr>
                <w:rFonts w:ascii="Arial" w:hAnsi="Arial"/>
                <w:b w:val="0"/>
                <w:i w:val="0"/>
                <w:color w:val="000000"/>
                <w:sz w:val="18"/>
              </w:rPr>
              <w:t>Interacteren via en met een verscheidenheid aan digitale technologieën, en passende digitale communicatietools gebruiken voor een bepaalde context.</w:t>
            </w:r>
          </w:p>
        </w:tc>
      </w:tr>
      <w:tr>
        <w:tc>
          <w:tcPr>
            <w:tcW w:type="dxa" w:w="3627"/>
            <w:vMerge/>
          </w:tcPr>
          <w:p/>
        </w:tc>
        <w:tc>
          <w:tcPr>
            <w:tcW w:type="dxa" w:w="3627"/>
          </w:tcPr>
          <w:p>
            <w:r>
              <w:rPr>
                <w:rFonts w:ascii="Arial" w:hAnsi="Arial"/>
                <w:b/>
                <w:i w:val="0"/>
                <w:color w:val="000000"/>
                <w:sz w:val="18"/>
              </w:rPr>
              <w:t>2.2 Delen via digitale technologie</w:t>
            </w:r>
          </w:p>
        </w:tc>
        <w:tc>
          <w:tcPr>
            <w:tcW w:type="dxa" w:w="3627"/>
          </w:tcPr>
          <w:p>
            <w:r>
              <w:rPr>
                <w:rFonts w:ascii="Arial" w:hAnsi="Arial"/>
                <w:b w:val="0"/>
                <w:i w:val="0"/>
                <w:color w:val="000000"/>
                <w:sz w:val="18"/>
              </w:rPr>
              <w:t>Het delen van informatie en content met anderen op een ethische en verantwoorde manier met behulp van geschikte digitale technologie.</w:t>
            </w:r>
          </w:p>
        </w:tc>
      </w:tr>
      <w:tr>
        <w:tc>
          <w:tcPr>
            <w:tcW w:type="dxa" w:w="3627"/>
            <w:vMerge/>
          </w:tcPr>
          <w:p/>
        </w:tc>
        <w:tc>
          <w:tcPr>
            <w:tcW w:type="dxa" w:w="3627"/>
          </w:tcPr>
          <w:p>
            <w:r>
              <w:rPr>
                <w:rFonts w:ascii="Arial" w:hAnsi="Arial"/>
                <w:b/>
                <w:i w:val="0"/>
                <w:color w:val="000000"/>
                <w:sz w:val="18"/>
              </w:rPr>
              <w:t>2.3 Actief burgerschap met behulp van digitale technologie</w:t>
            </w:r>
          </w:p>
        </w:tc>
        <w:tc>
          <w:tcPr>
            <w:tcW w:type="dxa" w:w="3627"/>
          </w:tcPr>
          <w:p>
            <w:r>
              <w:rPr>
                <w:rFonts w:ascii="Arial" w:hAnsi="Arial"/>
                <w:b w:val="0"/>
                <w:i w:val="0"/>
                <w:color w:val="000000"/>
                <w:sz w:val="18"/>
              </w:rPr>
              <w:t>Het deelnemen aan de samenleving door middel van het ethisch en verantwoord gebruik van digitale platforms en diensten. Het zoeken naar mogelijkheden tot het vergroten van zelfredzaamheid en participatie met behulp van daarvoor geschikte digitale technologie. Het bewust zijn van rechten en deze opeisen en het maken van keuzes in digitale omgevingen.</w:t>
            </w:r>
          </w:p>
        </w:tc>
      </w:tr>
      <w:tr>
        <w:tc>
          <w:tcPr>
            <w:tcW w:type="dxa" w:w="3627"/>
            <w:vMerge/>
          </w:tcPr>
          <w:p/>
        </w:tc>
        <w:tc>
          <w:tcPr>
            <w:tcW w:type="dxa" w:w="3627"/>
          </w:tcPr>
          <w:p>
            <w:r>
              <w:rPr>
                <w:rFonts w:ascii="Arial" w:hAnsi="Arial"/>
                <w:b/>
                <w:i w:val="0"/>
                <w:color w:val="000000"/>
                <w:sz w:val="18"/>
              </w:rPr>
              <w:t>2.4 Samenwerken met behulp van digitale technologie</w:t>
            </w:r>
          </w:p>
        </w:tc>
        <w:tc>
          <w:tcPr>
            <w:tcW w:type="dxa" w:w="3627"/>
          </w:tcPr>
          <w:p>
            <w:r>
              <w:rPr>
                <w:rFonts w:ascii="Arial" w:hAnsi="Arial"/>
                <w:b w:val="0"/>
                <w:i w:val="0"/>
                <w:color w:val="000000"/>
                <w:sz w:val="18"/>
              </w:rPr>
              <w:t>Het ethisch en verantwoord gebruiken van digitale technologie voor samenwerkingsdoeleinden en voor co-constructie en co-creatie van informatie, bronnen en kennis.</w:t>
            </w:r>
          </w:p>
        </w:tc>
      </w:tr>
      <w:tr>
        <w:tc>
          <w:tcPr>
            <w:tcW w:type="dxa" w:w="3627"/>
            <w:vMerge/>
          </w:tcPr>
          <w:p/>
        </w:tc>
        <w:tc>
          <w:tcPr>
            <w:tcW w:type="dxa" w:w="3627"/>
          </w:tcPr>
          <w:p>
            <w:r>
              <w:rPr>
                <w:rFonts w:ascii="Arial" w:hAnsi="Arial"/>
                <w:b/>
                <w:i w:val="0"/>
                <w:color w:val="000000"/>
                <w:sz w:val="18"/>
              </w:rPr>
              <w:t>2.5 Digitaal gedrag</w:t>
            </w:r>
          </w:p>
        </w:tc>
        <w:tc>
          <w:tcPr>
            <w:tcW w:type="dxa" w:w="3627"/>
          </w:tcPr>
          <w:p>
            <w:r>
              <w:rPr>
                <w:rFonts w:ascii="Arial" w:hAnsi="Arial"/>
                <w:b w:val="0"/>
                <w:i w:val="0"/>
                <w:color w:val="000000"/>
                <w:sz w:val="18"/>
              </w:rPr>
              <w:t>Het bewust zijn van gedragsnormen en weten hoe men zich respectvol moet gedragen bij het gebruik van digitale technologie en interactie in digitale omgevingen. Het aanpassen van communicatie aan specifieke contexten en bewust zijn en respecteren van culturele, generationele en andersoortige diversiteit in digitale omgevingen.</w:t>
            </w:r>
          </w:p>
        </w:tc>
      </w:tr>
      <w:tr>
        <w:tc>
          <w:tcPr>
            <w:tcW w:type="dxa" w:w="3627"/>
            <w:vMerge/>
          </w:tcPr>
          <w:p/>
        </w:tc>
        <w:tc>
          <w:tcPr>
            <w:tcW w:type="dxa" w:w="3627"/>
          </w:tcPr>
          <w:p>
            <w:r>
              <w:rPr>
                <w:rFonts w:ascii="Arial" w:hAnsi="Arial"/>
                <w:b/>
                <w:i w:val="0"/>
                <w:color w:val="000000"/>
                <w:sz w:val="18"/>
              </w:rPr>
              <w:t>2.6 Beheren van de eigen digitale identiteit</w:t>
            </w:r>
          </w:p>
        </w:tc>
        <w:tc>
          <w:tcPr>
            <w:tcW w:type="dxa" w:w="3627"/>
          </w:tcPr>
          <w:p>
            <w:r>
              <w:rPr>
                <w:rFonts w:ascii="Arial" w:hAnsi="Arial"/>
                <w:b w:val="0"/>
                <w:i w:val="0"/>
                <w:color w:val="000000"/>
                <w:sz w:val="18"/>
              </w:rPr>
              <w:t>Het beheren van één of meerdere digitale identiteiten. Het ondernemen van acties om de eigen digitale reputatie te beschermen (hoe iemand wordt waargenomen op basis van online aanwezigheid) en het beheren van de eigen digitale voetafdruk (de data die worden geproduceerd door het gebruik van digitale platforms en diensten).</w:t>
            </w:r>
          </w:p>
        </w:tc>
      </w:tr>
      <w:tr>
        <w:tc>
          <w:tcPr>
            <w:tcW w:type="dxa" w:w="3627"/>
            <w:vMerge w:val="restart"/>
          </w:tcPr>
          <w:p/>
          <w:p>
            <w:r>
              <w:rPr>
                <w:rFonts w:ascii="Arial" w:hAnsi="Arial"/>
                <w:b/>
                <w:i w:val="0"/>
                <w:color w:val="ED7D31"/>
                <w:sz w:val="18"/>
              </w:rPr>
              <w:t>3. CONTENTCREATIE</w:t>
            </w:r>
          </w:p>
          <w:p>
            <w:r>
              <w:rPr>
                <w:rFonts w:ascii="Arial" w:hAnsi="Arial"/>
                <w:b w:val="0"/>
                <w:i w:val="0"/>
                <w:color w:val="000000"/>
                <w:sz w:val="16"/>
              </w:rPr>
              <w:t>Het creëren en bewerken van digitale content. Het verbeteren en integreren van informatie en content in bestaande kennis, met begrip van hoe auteursrecht en licenties moeten worden toegepast. Het hanteren van een ethische en verantwoorde aanpak bij het creëren, verbeteren en integreren van digitale content. Weten hoe computational thinking en programmeertechnieken moeten worden toegepast om instructies te geven aan een computersysteem.</w:t>
            </w:r>
          </w:p>
        </w:tc>
        <w:tc>
          <w:tcPr>
            <w:tcW w:type="dxa" w:w="3627"/>
          </w:tcPr>
          <w:p>
            <w:r>
              <w:rPr>
                <w:rFonts w:ascii="Arial" w:hAnsi="Arial"/>
                <w:b/>
                <w:i w:val="0"/>
                <w:color w:val="000000"/>
                <w:sz w:val="18"/>
              </w:rPr>
              <w:t>3.1 Ontwikkelen van digitale content</w:t>
            </w:r>
          </w:p>
        </w:tc>
        <w:tc>
          <w:tcPr>
            <w:tcW w:type="dxa" w:w="3627"/>
          </w:tcPr>
          <w:p>
            <w:r>
              <w:rPr>
                <w:rFonts w:ascii="Arial" w:hAnsi="Arial"/>
                <w:b w:val="0"/>
                <w:i w:val="0"/>
                <w:color w:val="000000"/>
                <w:sz w:val="18"/>
              </w:rPr>
              <w:t>Het ethisch en verantwoord gebruiken van digitale technologie om een verscheidenheid aan content te creëren en te bewerken. Het zichzelf uitdrukken met behulp van digitale middelen.</w:t>
            </w:r>
          </w:p>
        </w:tc>
      </w:tr>
      <w:tr>
        <w:tc>
          <w:tcPr>
            <w:tcW w:type="dxa" w:w="3627"/>
            <w:vMerge/>
          </w:tcPr>
          <w:p/>
        </w:tc>
        <w:tc>
          <w:tcPr>
            <w:tcW w:type="dxa" w:w="3627"/>
          </w:tcPr>
          <w:p>
            <w:r>
              <w:rPr>
                <w:rFonts w:ascii="Arial" w:hAnsi="Arial"/>
                <w:b/>
                <w:i w:val="0"/>
                <w:color w:val="000000"/>
                <w:sz w:val="18"/>
              </w:rPr>
              <w:t>3.2 Digitale content integreren en bewerken</w:t>
            </w:r>
          </w:p>
        </w:tc>
        <w:tc>
          <w:tcPr>
            <w:tcW w:type="dxa" w:w="3627"/>
          </w:tcPr>
          <w:p>
            <w:r>
              <w:rPr>
                <w:rFonts w:ascii="Arial" w:hAnsi="Arial"/>
                <w:b w:val="0"/>
                <w:i w:val="0"/>
                <w:color w:val="000000"/>
                <w:sz w:val="18"/>
              </w:rPr>
              <w:t>Het wijzigen, verfijnen en integreren van nieuwe informatie en content in bestaande kennis en bronnen om nieuwe en originele content en kennis te creëren.</w:t>
            </w:r>
          </w:p>
        </w:tc>
      </w:tr>
      <w:tr>
        <w:tc>
          <w:tcPr>
            <w:tcW w:type="dxa" w:w="3627"/>
            <w:vMerge/>
          </w:tcPr>
          <w:p/>
        </w:tc>
        <w:tc>
          <w:tcPr>
            <w:tcW w:type="dxa" w:w="3627"/>
          </w:tcPr>
          <w:p>
            <w:r>
              <w:rPr>
                <w:rFonts w:ascii="Arial" w:hAnsi="Arial"/>
                <w:b/>
                <w:i w:val="0"/>
                <w:color w:val="000000"/>
                <w:sz w:val="18"/>
              </w:rPr>
              <w:t>3.3 Auteursrecht en licenties</w:t>
            </w:r>
          </w:p>
        </w:tc>
        <w:tc>
          <w:tcPr>
            <w:tcW w:type="dxa" w:w="3627"/>
          </w:tcPr>
          <w:p>
            <w:r>
              <w:rPr>
                <w:rFonts w:ascii="Arial" w:hAnsi="Arial"/>
                <w:b w:val="0"/>
                <w:i w:val="0"/>
                <w:color w:val="000000"/>
                <w:sz w:val="18"/>
              </w:rPr>
              <w:t>Het begrijpen hoe auteursrecht en licenties, evenals bijbehorende juridische en ethische kwesties, van toepassing zijn op digitale content, en hoe deze correct moeten worden toegepast.</w:t>
            </w:r>
          </w:p>
        </w:tc>
      </w:tr>
      <w:tr>
        <w:tc>
          <w:tcPr>
            <w:tcW w:type="dxa" w:w="3627"/>
            <w:vMerge/>
          </w:tcPr>
          <w:p/>
        </w:tc>
        <w:tc>
          <w:tcPr>
            <w:tcW w:type="dxa" w:w="3627"/>
          </w:tcPr>
          <w:p>
            <w:r>
              <w:rPr>
                <w:rFonts w:ascii="Arial" w:hAnsi="Arial"/>
                <w:b/>
                <w:i w:val="0"/>
                <w:color w:val="000000"/>
                <w:sz w:val="18"/>
              </w:rPr>
              <w:t>3.4 Computational thinking en programmeren</w:t>
            </w:r>
          </w:p>
        </w:tc>
        <w:tc>
          <w:tcPr>
            <w:tcW w:type="dxa" w:w="3627"/>
          </w:tcPr>
          <w:p>
            <w:r>
              <w:rPr>
                <w:rFonts w:ascii="Arial" w:hAnsi="Arial"/>
                <w:b w:val="0"/>
                <w:i w:val="0"/>
                <w:color w:val="000000"/>
                <w:sz w:val="18"/>
              </w:rPr>
              <w:t>Het begrijpen en uitvoeren van stappen om een probleem te analyseren, deelproblemen te herkennen en een reeks instructies voor een computersysteem te plannen en te ontwikkelen om een bepaald probleem op te lossen of een specifieke taak uit te voeren.</w:t>
            </w:r>
          </w:p>
        </w:tc>
      </w:tr>
      <w:tr>
        <w:tc>
          <w:tcPr>
            <w:tcW w:type="dxa" w:w="3627"/>
            <w:vMerge w:val="restart"/>
          </w:tcPr>
          <w:p/>
          <w:p>
            <w:r>
              <w:rPr>
                <w:rFonts w:ascii="Arial" w:hAnsi="Arial"/>
                <w:b/>
                <w:i w:val="0"/>
                <w:color w:val="70AD47"/>
                <w:sz w:val="18"/>
              </w:rPr>
              <w:t>4. VEILIGHEID, WELZIJN EN VERANTWOORD GEBRUIK</w:t>
            </w:r>
          </w:p>
          <w:p>
            <w:r>
              <w:rPr>
                <w:rFonts w:ascii="Arial" w:hAnsi="Arial"/>
                <w:b w:val="0"/>
                <w:i w:val="0"/>
                <w:color w:val="000000"/>
                <w:sz w:val="16"/>
              </w:rPr>
              <w:t>Het beveiligen van apparaten, content, persoonlijke gegevens en privacy in digitale omgevingen. Het bevorderen van het fysieke, mentale en sociale welzijn van jezelf en anderen, en het zich bewust zijn van de voordelen en risico's van digitale technologie voor welzijn en sociale inclusie. Het zich bewust zijn van het milieueffect van digitale technologie en het gebruik ervan, het ondernemen van actie om dit effect te beperken en het gebruiken van digitale technologie om duurzaamheid te ondersteunen.</w:t>
            </w:r>
          </w:p>
        </w:tc>
        <w:tc>
          <w:tcPr>
            <w:tcW w:type="dxa" w:w="3627"/>
          </w:tcPr>
          <w:p>
            <w:r>
              <w:rPr>
                <w:rFonts w:ascii="Arial" w:hAnsi="Arial"/>
                <w:b/>
                <w:i w:val="0"/>
                <w:color w:val="000000"/>
                <w:sz w:val="18"/>
              </w:rPr>
              <w:t>4.1 Beveiligen van apparaten</w:t>
            </w:r>
          </w:p>
        </w:tc>
        <w:tc>
          <w:tcPr>
            <w:tcW w:type="dxa" w:w="3627"/>
          </w:tcPr>
          <w:p>
            <w:r>
              <w:rPr>
                <w:rFonts w:ascii="Arial" w:hAnsi="Arial"/>
                <w:b w:val="0"/>
                <w:i w:val="0"/>
                <w:color w:val="000000"/>
                <w:sz w:val="18"/>
              </w:rPr>
              <w:t>Het toepassen van veiligheids- en cybersecuritymaatregelen om digitale apparaten en content te beveiligen. Het zich bewust zijn van de veranderende aard van risico's en bedreigingen in digitale omgevingen, en het besteden van voldoende aandacht aan de beveiliging van digitale apparaten en hun inhoud.</w:t>
            </w:r>
          </w:p>
        </w:tc>
      </w:tr>
      <w:tr>
        <w:tc>
          <w:tcPr>
            <w:tcW w:type="dxa" w:w="3627"/>
            <w:vMerge/>
          </w:tcPr>
          <w:p/>
        </w:tc>
        <w:tc>
          <w:tcPr>
            <w:tcW w:type="dxa" w:w="3627"/>
          </w:tcPr>
          <w:p>
            <w:r>
              <w:rPr>
                <w:rFonts w:ascii="Arial" w:hAnsi="Arial"/>
                <w:b/>
                <w:i w:val="0"/>
                <w:color w:val="000000"/>
                <w:sz w:val="18"/>
              </w:rPr>
              <w:t>4.2 Beschermen van persoonlijke gegevens en privacy</w:t>
            </w:r>
          </w:p>
        </w:tc>
        <w:tc>
          <w:tcPr>
            <w:tcW w:type="dxa" w:w="3627"/>
          </w:tcPr>
          <w:p>
            <w:r>
              <w:rPr>
                <w:rFonts w:ascii="Arial" w:hAnsi="Arial"/>
                <w:b w:val="0"/>
                <w:i w:val="0"/>
                <w:color w:val="000000"/>
                <w:sz w:val="18"/>
              </w:rPr>
              <w:t>Het zich bewust zijn van en uitoefenen van rechten met betrekking tot persoonlijke gegevens en privacy in digitale omgevingen. Het beoordelen en beheren van privacyrisico's en het beschermen van persoonlijke gegevens en privacy in digitale omgevingen. Het veilig, ethisch en verantwoord gebruik en delen van de eigen en andermans persoonlijke gegevens.</w:t>
            </w:r>
          </w:p>
        </w:tc>
      </w:tr>
      <w:tr>
        <w:tc>
          <w:tcPr>
            <w:tcW w:type="dxa" w:w="3627"/>
            <w:vMerge/>
          </w:tcPr>
          <w:p/>
        </w:tc>
        <w:tc>
          <w:tcPr>
            <w:tcW w:type="dxa" w:w="3627"/>
          </w:tcPr>
          <w:p>
            <w:r>
              <w:rPr>
                <w:rFonts w:ascii="Arial" w:hAnsi="Arial"/>
                <w:b/>
                <w:i w:val="0"/>
                <w:color w:val="000000"/>
                <w:sz w:val="18"/>
              </w:rPr>
              <w:t>4.3 Het bevorderen van welzijn</w:t>
            </w:r>
          </w:p>
        </w:tc>
        <w:tc>
          <w:tcPr>
            <w:tcW w:type="dxa" w:w="3627"/>
          </w:tcPr>
          <w:p>
            <w:r>
              <w:rPr>
                <w:rFonts w:ascii="Arial" w:hAnsi="Arial"/>
                <w:b w:val="0"/>
                <w:i w:val="0"/>
                <w:color w:val="000000"/>
                <w:sz w:val="18"/>
              </w:rPr>
              <w:t>Het gebruiken van digitale technologie gebruiken op manieren die welzijn en inclusie bevorderen. Het beperken van risico's en bedreigingen voor het fysieke, mentale en sociale welzijn van zichzelf en anderen bij het gebruik van digitale technologie. Het gebruik van digitale technologie afwegen tegen offline activiteiten om welzijn te bevorderen. Het ondernemen van actie om zichzelf en anderen te beschermen tegen mogelijke gevaren in digitale omgevingen (bijv. cyberpesten, schadelijke content), en weten hoe op dergelijke gevaren te reageren.</w:t>
            </w:r>
          </w:p>
        </w:tc>
      </w:tr>
      <w:tr>
        <w:tc>
          <w:tcPr>
            <w:tcW w:type="dxa" w:w="3627"/>
            <w:vMerge/>
          </w:tcPr>
          <w:p/>
        </w:tc>
        <w:tc>
          <w:tcPr>
            <w:tcW w:type="dxa" w:w="3627"/>
          </w:tcPr>
          <w:p>
            <w:r>
              <w:rPr>
                <w:rFonts w:ascii="Arial" w:hAnsi="Arial"/>
                <w:b/>
                <w:i w:val="0"/>
                <w:color w:val="000000"/>
                <w:sz w:val="18"/>
              </w:rPr>
              <w:t>4.4 Milieueffecten van digitale technologie</w:t>
            </w:r>
          </w:p>
        </w:tc>
        <w:tc>
          <w:tcPr>
            <w:tcW w:type="dxa" w:w="3627"/>
          </w:tcPr>
          <w:p>
            <w:r>
              <w:rPr>
                <w:rFonts w:ascii="Arial" w:hAnsi="Arial"/>
                <w:b w:val="0"/>
                <w:i w:val="0"/>
                <w:color w:val="000000"/>
                <w:sz w:val="18"/>
              </w:rPr>
              <w:t>Het zich bewust zijn van het milieueffect van digitale technologie, waaronder de productie van apparaten, het gebruik, de reparatie, recycling, weggooien, infrastructuur voor dataopslag, energieverbruik en het gebruik van tools en applicaties. Het ondernemen van actie om dit effect te beperken en het gebruiken van digitale technologie om duurzaamheid te ondersteunen.</w:t>
            </w:r>
          </w:p>
        </w:tc>
      </w:tr>
      <w:tr>
        <w:tc>
          <w:tcPr>
            <w:tcW w:type="dxa" w:w="3627"/>
            <w:vMerge w:val="restart"/>
          </w:tcPr>
          <w:p/>
          <w:p>
            <w:r>
              <w:rPr>
                <w:rFonts w:ascii="Arial" w:hAnsi="Arial"/>
                <w:b/>
                <w:i w:val="0"/>
                <w:color w:val="E26B67"/>
                <w:sz w:val="18"/>
              </w:rPr>
              <w:t>5. HERKENNEN EN OPLOSSEN VAN PROBLEMEN</w:t>
            </w:r>
          </w:p>
          <w:p>
            <w:r>
              <w:rPr>
                <w:rFonts w:ascii="Arial" w:hAnsi="Arial"/>
                <w:b w:val="0"/>
                <w:i w:val="0"/>
                <w:color w:val="000000"/>
                <w:sz w:val="16"/>
              </w:rPr>
              <w:t>Het herkennen en beoordelen van behoeften, en het gebruiken van digitale technologie en het aanpassen van digitale omgevingen om aan deze behoeften te voldoen. Het herkennen en oplossen van technische en conceptuele problemen en probleemsituaties in digitale omgevingen. Het gebruiken van digitale technologie om verbeteringen aan te brengen in, of nieuwe oplossingen te vinden voor processen en producten. Het opbouwen van competenties om zelfstandig te functioneren in digitale omgevingen. Het op de hoogte blijven van technologische ontwikkelingen en de implicaties daarvan.</w:t>
            </w:r>
          </w:p>
        </w:tc>
        <w:tc>
          <w:tcPr>
            <w:tcW w:type="dxa" w:w="3627"/>
          </w:tcPr>
          <w:p>
            <w:r>
              <w:rPr>
                <w:rFonts w:ascii="Arial" w:hAnsi="Arial"/>
                <w:b/>
                <w:i w:val="0"/>
                <w:color w:val="000000"/>
                <w:sz w:val="18"/>
              </w:rPr>
              <w:t>5.1 Herkennen en oplossen van technische problemen</w:t>
            </w:r>
          </w:p>
        </w:tc>
        <w:tc>
          <w:tcPr>
            <w:tcW w:type="dxa" w:w="3627"/>
          </w:tcPr>
          <w:p>
            <w:r>
              <w:rPr>
                <w:rFonts w:ascii="Arial" w:hAnsi="Arial"/>
                <w:b w:val="0"/>
                <w:i w:val="0"/>
                <w:color w:val="000000"/>
                <w:sz w:val="18"/>
              </w:rPr>
              <w:t>Het herkennen van technische problemen bij de bediening van digitale apparaten en in digitale omgevingen en het oplossen ervan middels verschillende manieren.</w:t>
            </w:r>
          </w:p>
        </w:tc>
      </w:tr>
      <w:tr>
        <w:tc>
          <w:tcPr>
            <w:tcW w:type="dxa" w:w="3627"/>
            <w:vMerge/>
          </w:tcPr>
          <w:p/>
        </w:tc>
        <w:tc>
          <w:tcPr>
            <w:tcW w:type="dxa" w:w="3627"/>
          </w:tcPr>
          <w:p>
            <w:r>
              <w:rPr>
                <w:rFonts w:ascii="Arial" w:hAnsi="Arial"/>
                <w:b/>
                <w:i w:val="0"/>
                <w:color w:val="000000"/>
                <w:sz w:val="18"/>
              </w:rPr>
              <w:t>5.2 Herkennen van behoeften en technologische oplossingen</w:t>
            </w:r>
          </w:p>
        </w:tc>
        <w:tc>
          <w:tcPr>
            <w:tcW w:type="dxa" w:w="3627"/>
          </w:tcPr>
          <w:p>
            <w:r>
              <w:rPr>
                <w:rFonts w:ascii="Arial" w:hAnsi="Arial"/>
                <w:b w:val="0"/>
                <w:i w:val="0"/>
                <w:color w:val="000000"/>
                <w:sz w:val="18"/>
              </w:rPr>
              <w:t>Het beoordelen van eigen en andermans behoeften en het beoordelen, selecteren en gebruiken van digitale technologie om aan deze behoeften te voldoen. Het aanpassen en personaliseren van digitale omgevingen aan de context, doelen en behoeften (bijv. toegankelijkheid) van zichzelf en anderen.</w:t>
            </w:r>
          </w:p>
        </w:tc>
      </w:tr>
      <w:tr>
        <w:tc>
          <w:tcPr>
            <w:tcW w:type="dxa" w:w="3627"/>
            <w:vMerge/>
          </w:tcPr>
          <w:p/>
        </w:tc>
        <w:tc>
          <w:tcPr>
            <w:tcW w:type="dxa" w:w="3627"/>
          </w:tcPr>
          <w:p>
            <w:r>
              <w:rPr>
                <w:rFonts w:ascii="Arial" w:hAnsi="Arial"/>
                <w:b/>
                <w:i w:val="0"/>
                <w:color w:val="000000"/>
                <w:sz w:val="18"/>
              </w:rPr>
              <w:t>5.3 Herkennen van creatieve oplossingen met behulp van digitale technologie</w:t>
            </w:r>
          </w:p>
        </w:tc>
        <w:tc>
          <w:tcPr>
            <w:tcW w:type="dxa" w:w="3627"/>
          </w:tcPr>
          <w:p>
            <w:r>
              <w:rPr>
                <w:rFonts w:ascii="Arial" w:hAnsi="Arial"/>
                <w:b w:val="0"/>
                <w:i w:val="0"/>
                <w:color w:val="000000"/>
                <w:sz w:val="18"/>
              </w:rPr>
              <w:t>Het gebruiken van digitale technologie om verbeteringen aan te brengen in of nieuwe oplossingen te vinden voor processen en producten, vanuit een mensgerichte benadering. Het individueel en collectief deelnemen aan kritische denkprocessen en het creatief en doelgericht gebruiken van digitale technologie om conceptuele problemen en probleemsituaties te begrijpen en op te lossen.</w:t>
            </w:r>
          </w:p>
        </w:tc>
      </w:tr>
      <w:tr>
        <w:tc>
          <w:tcPr>
            <w:tcW w:type="dxa" w:w="3627"/>
            <w:vMerge/>
          </w:tcPr>
          <w:p/>
        </w:tc>
        <w:tc>
          <w:tcPr>
            <w:tcW w:type="dxa" w:w="3627"/>
          </w:tcPr>
          <w:p>
            <w:r>
              <w:rPr>
                <w:rFonts w:ascii="Arial" w:hAnsi="Arial"/>
                <w:b/>
                <w:i w:val="0"/>
                <w:color w:val="000000"/>
                <w:sz w:val="18"/>
              </w:rPr>
              <w:t>5.4 Herkennen en aanpakken van behoeften op het gebied van digitale competentie</w:t>
            </w:r>
          </w:p>
        </w:tc>
        <w:tc>
          <w:tcPr>
            <w:tcW w:type="dxa" w:w="3627"/>
          </w:tcPr>
          <w:p>
            <w:r>
              <w:rPr>
                <w:rFonts w:ascii="Arial" w:hAnsi="Arial"/>
                <w:b w:val="0"/>
                <w:i w:val="0"/>
                <w:color w:val="000000"/>
                <w:sz w:val="18"/>
              </w:rPr>
              <w:t>Het erkennen op welk vlak de eigen digitale competentie verbeterd of geactualiseerd moet worden. Het aanpakken van digitale competentiebehoeften binnen een breder proces van een leven lang leren en het opbouwen van bekwaamheid en autonomie. Het ondersteunen van anderen bij de ontwikkeling van hun digitale competentie. Het op de hoogte blijven van digitale technologische ontwikkelingen en de persoonlijke, professionele en maatschappelijke implicaties daarvan.</w:t>
            </w:r>
          </w:p>
        </w:tc>
      </w:tr>
    </w:tbl>
    <w:sectPr w:rsidR="00FC693F" w:rsidRPr="0006063C" w:rsidSect="00034616">
      <w:pgSz w:w="12240" w:h="15840"/>
      <w:pgMar w:top="1440" w:right="680" w:bottom="144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