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b w:val="0"/>
          <w:i w:val="0"/>
          <w:color w:val="1F4E78"/>
          <w:sz w:val="36"/>
        </w:rPr>
        <w:t>LIJST VAN ACRONYMEN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left w:val="nil"/>
          <w:right w:val="nil"/>
          <w:insideV w:val="nil"/>
          <w:top w:val="single" w:sz="2" w:color="D9D9D9"/>
          <w:bottom w:val="single" w:sz="2" w:color="D9D9D9"/>
          <w:insideH w:val="single" w:sz="2" w:color="D9D9D9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8"/>
          </w:tcPr>
          <w:p>
            <w:r>
              <w:rPr>
                <w:rFonts w:ascii="Arial" w:hAnsi="Arial"/>
                <w:b/>
                <w:i w:val="0"/>
                <w:color w:val="FFFFFF"/>
                <w:sz w:val="22"/>
              </w:rPr>
              <w:t>ACRONIEM</w:t>
            </w:r>
          </w:p>
        </w:tc>
        <w:tc>
          <w:tcPr>
            <w:tcW w:type="dxa" w:w="2160"/>
            <w:shd w:fill="1F4E78"/>
          </w:tcPr>
          <w:p>
            <w:r>
              <w:rPr>
                <w:rFonts w:ascii="Arial" w:hAnsi="Arial"/>
                <w:b/>
                <w:i w:val="0"/>
                <w:color w:val="FFFFFF"/>
                <w:sz w:val="22"/>
              </w:rPr>
              <w:t>BETEKENIS</w:t>
            </w:r>
          </w:p>
        </w:tc>
        <w:tc>
          <w:tcPr>
            <w:tcW w:type="dxa" w:w="2160"/>
            <w:shd w:fill="1F4E78"/>
          </w:tcPr>
          <w:p>
            <w:r>
              <w:rPr>
                <w:rFonts w:ascii="Arial" w:hAnsi="Arial"/>
                <w:b/>
                <w:i w:val="0"/>
                <w:color w:val="FFFFFF"/>
                <w:sz w:val="22"/>
              </w:rPr>
              <w:t>ACRONIEM</w:t>
            </w:r>
          </w:p>
        </w:tc>
        <w:tc>
          <w:tcPr>
            <w:tcW w:type="dxa" w:w="2160"/>
            <w:shd w:fill="1F4E78"/>
          </w:tcPr>
          <w:p>
            <w:r>
              <w:rPr>
                <w:rFonts w:ascii="Arial" w:hAnsi="Arial"/>
                <w:b/>
                <w:i w:val="0"/>
                <w:color w:val="FFFFFF"/>
                <w:sz w:val="22"/>
              </w:rPr>
              <w:t>BETEKENIS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AGRI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Directorate-General for Agriculture and Rural Development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ITU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International Telecommunications Union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AI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Kunstmatige intelligentie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JRC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Joint Research Centre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AR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Augmented Reality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JSON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JavaScript Object Notation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CNECT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Directorate-General for Communications Networks, Content and Technology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MR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Mixed Reality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DIGIT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Directorate-General for Digital Services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NQF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Nationaal kwalificatieraamwerk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EAC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Directorate-General for Education, Youth, Sport and Culture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OECD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Organisatie voor Economische Samenwerking en Ontwikkeling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EC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Europese Commissie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OER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Open leermaterialen (OER)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EMPL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Directorate-General for Employment, Social Affairs and Inclusion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REFORM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Reform and Investment Task Force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EQF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Europees kwalificatieraamwerk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SJ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Le Service juridique (juridische dienst van de Europese Commissie)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ESTAT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Eurostat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STEM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Science, Technology, Engineering and Mathematics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EU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Europese Unie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UN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Verenigde Naties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EUIPO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European Union Intellectual Property Office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UNESCO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Organisatie der Verenigde Naties voor Onderwijs, Wetenschap en Cultuur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GDPR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Algemene Verordening Gegevensbescherming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VET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Middelbaar beroepsonderwijs (mbo)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ICILS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International Computer and Information Literacy Study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VR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Virtual Reality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ICT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Informatie- en communicatietechnologie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  <w:i w:val="0"/>
                <w:color w:val="000000"/>
                <w:sz w:val="22"/>
              </w:rPr>
              <w:t>XR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2"/>
              </w:rPr>
              <w:t>Extended Reality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