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4320"/>
        <w:gridCol w:w="4320"/>
      </w:tblGrid>
      <w:tr>
        <w:tc>
          <w:tcPr>
            <w:tcW w:type="dxa" w:w="4320"/>
            <w:shd w:fill="1F4E78"/>
          </w:tcPr>
          <w:p>
            <w:r>
              <w:rPr>
                <w:rFonts w:ascii="Arial" w:hAnsi="Arial"/>
                <w:b/>
                <w:i w:val="0"/>
                <w:color w:val="FFFFFF"/>
                <w:sz w:val="22"/>
              </w:rPr>
              <w:t>TERM</w:t>
            </w:r>
          </w:p>
        </w:tc>
        <w:tc>
          <w:tcPr>
            <w:tcW w:type="dxa" w:w="4320"/>
            <w:shd w:fill="1F4E78"/>
          </w:tcPr>
          <w:p>
            <w:r>
              <w:rPr>
                <w:rFonts w:ascii="Arial" w:hAnsi="Arial"/>
                <w:b/>
                <w:i w:val="0"/>
                <w:color w:val="FFFFFF"/>
                <w:sz w:val="22"/>
              </w:rPr>
              <w:t>UITLEG</w:t>
            </w:r>
          </w:p>
        </w:tc>
      </w:tr>
      <w:tr>
        <w:tc>
          <w:tcPr>
            <w:tcW w:type="dxa" w:w="4320"/>
          </w:tcPr>
          <w:p>
            <w:r>
              <w:rPr>
                <w:rFonts w:ascii="Arial" w:hAnsi="Arial"/>
                <w:b/>
                <w:i w:val="0"/>
                <w:color w:val="000000"/>
                <w:sz w:val="22"/>
              </w:rPr>
              <w:t>AI-systeem</w:t>
            </w:r>
          </w:p>
        </w:tc>
        <w:tc>
          <w:tcPr>
            <w:tcW w:type="dxa" w:w="4320"/>
          </w:tcPr>
          <w:p>
            <w:r>
              <w:rPr>
                <w:rFonts w:ascii="Arial" w:hAnsi="Arial"/>
                <w:b w:val="0"/>
                <w:i w:val="0"/>
                <w:color w:val="000000"/>
                <w:sz w:val="22"/>
              </w:rPr>
              <w:t>Een op een machine gebaseerd systeem dat is ontworpen om met verschillende niveaus van autonomie te werken, dat na implementatie aanpassingsvermogen kan vertonen en dat, voor expliciete of impliciete doelstellingen, uit de ontvangen input afleidt hoe output moet worden gegenereerd, zoals voorspellingen, content, aanbevelingen of beslissingen die fysieke of virtuele omgevingen kunnen beïnvloeden.</w:t>
            </w:r>
          </w:p>
        </w:tc>
      </w:tr>
      <w:tr>
        <w:tc>
          <w:tcPr>
            <w:tcW w:type="dxa" w:w="4320"/>
          </w:tcPr>
          <w:p>
            <w:r>
              <w:rPr>
                <w:rFonts w:ascii="Arial" w:hAnsi="Arial"/>
                <w:b/>
                <w:i w:val="0"/>
                <w:color w:val="000000"/>
                <w:sz w:val="22"/>
              </w:rPr>
              <w:t>AI-systeem met een hoog risico</w:t>
            </w:r>
          </w:p>
        </w:tc>
        <w:tc>
          <w:tcPr>
            <w:tcW w:type="dxa" w:w="4320"/>
          </w:tcPr>
          <w:p>
            <w:r>
              <w:rPr>
                <w:rFonts w:ascii="Arial" w:hAnsi="Arial"/>
                <w:b w:val="0"/>
                <w:i w:val="0"/>
                <w:color w:val="000000"/>
                <w:sz w:val="22"/>
              </w:rPr>
              <w:t>Een systeem dat waarschijnlijk een negatieve invloed heeft op de gezondheid, veiligheid of grondrechten. In de AI-verordening (AI Act) bevindt een hoog risico zich tussen een onaanvaardbaar risico, dat verboden is, en een beperkt risico, waaraan bepaalde transparantie-eisen zijn gesteld.</w:t>
            </w:r>
          </w:p>
        </w:tc>
      </w:tr>
      <w:tr>
        <w:tc>
          <w:tcPr>
            <w:tcW w:type="dxa" w:w="4320"/>
          </w:tcPr>
          <w:p>
            <w:r>
              <w:rPr>
                <w:rFonts w:ascii="Arial" w:hAnsi="Arial"/>
                <w:b/>
                <w:i w:val="0"/>
                <w:color w:val="000000"/>
                <w:sz w:val="22"/>
              </w:rPr>
              <w:t>algoritme</w:t>
            </w:r>
          </w:p>
        </w:tc>
        <w:tc>
          <w:tcPr>
            <w:tcW w:type="dxa" w:w="4320"/>
          </w:tcPr>
          <w:p>
            <w:r>
              <w:rPr>
                <w:rFonts w:ascii="Arial" w:hAnsi="Arial"/>
                <w:b w:val="0"/>
                <w:i w:val="0"/>
                <w:color w:val="000000"/>
                <w:sz w:val="22"/>
              </w:rPr>
              <w:t>Een formule of reeks regels (of procedure, processen of instructies) voor het oplossen van een probleem of voor het uitvoeren van een taak. Veelvoorkomende voorbeelden zijn beslisbomen, clusteringalgoritmen, classificatiealgoritmen of regressiealgoritmen.</w:t>
            </w:r>
          </w:p>
        </w:tc>
      </w:tr>
      <w:tr>
        <w:tc>
          <w:tcPr>
            <w:tcW w:type="dxa" w:w="4320"/>
          </w:tcPr>
          <w:p>
            <w:r>
              <w:rPr>
                <w:rFonts w:ascii="Arial" w:hAnsi="Arial"/>
                <w:b/>
                <w:i w:val="0"/>
                <w:color w:val="000000"/>
                <w:sz w:val="22"/>
              </w:rPr>
              <w:t>Anonimisering</w:t>
            </w:r>
          </w:p>
        </w:tc>
        <w:tc>
          <w:tcPr>
            <w:tcW w:type="dxa" w:w="4320"/>
          </w:tcPr>
          <w:p>
            <w:r>
              <w:rPr>
                <w:rFonts w:ascii="Arial" w:hAnsi="Arial"/>
                <w:b w:val="0"/>
                <w:i w:val="0"/>
                <w:color w:val="000000"/>
                <w:sz w:val="22"/>
              </w:rPr>
              <w:t>In de Algemene Verordening Gegevensbescherming (AVG, 2018) verwijst anonimisering naar de verwerking van gegevens met als doel de identificatie van een individuele persoon onomkeerbaar te voorkomen.</w:t>
            </w:r>
          </w:p>
        </w:tc>
      </w:tr>
      <w:tr>
        <w:tc>
          <w:tcPr>
            <w:tcW w:type="dxa" w:w="4320"/>
          </w:tcPr>
          <w:p>
            <w:r>
              <w:rPr>
                <w:rFonts w:ascii="Arial" w:hAnsi="Arial"/>
                <w:b/>
                <w:i w:val="0"/>
                <w:color w:val="000000"/>
                <w:sz w:val="22"/>
              </w:rPr>
              <w:t>Antivirussoftware</w:t>
            </w:r>
          </w:p>
        </w:tc>
        <w:tc>
          <w:tcPr>
            <w:tcW w:type="dxa" w:w="4320"/>
          </w:tcPr>
          <w:p>
            <w:r>
              <w:rPr>
                <w:rFonts w:ascii="Arial" w:hAnsi="Arial"/>
                <w:b w:val="0"/>
                <w:i w:val="0"/>
                <w:color w:val="000000"/>
                <w:sz w:val="22"/>
              </w:rPr>
              <w:t>Een computerprogramma ontworpen om malware te voorkomen, te detecteren en te verwijderen. Ook wel anti-malware genoemd.</w:t>
            </w:r>
          </w:p>
        </w:tc>
      </w:tr>
      <w:tr>
        <w:tc>
          <w:tcPr>
            <w:tcW w:type="dxa" w:w="4320"/>
          </w:tcPr>
          <w:p>
            <w:r>
              <w:rPr>
                <w:rFonts w:ascii="Arial" w:hAnsi="Arial"/>
                <w:b/>
                <w:i w:val="0"/>
                <w:color w:val="000000"/>
                <w:sz w:val="22"/>
              </w:rPr>
              <w:t>Applicatie/App</w:t>
            </w:r>
          </w:p>
        </w:tc>
        <w:tc>
          <w:tcPr>
            <w:tcW w:type="dxa" w:w="4320"/>
          </w:tcPr>
          <w:p>
            <w:r>
              <w:rPr>
                <w:rFonts w:ascii="Arial" w:hAnsi="Arial"/>
                <w:b w:val="0"/>
                <w:i w:val="0"/>
                <w:color w:val="000000"/>
                <w:sz w:val="22"/>
              </w:rPr>
              <w:t>Een computerprogramma of softwareapplicatie, in het bijzonder een programma dat is ontworpen om te draaien op een mobiel apparaat zoals een smartphone, tablet of horloge.</w:t>
            </w:r>
          </w:p>
        </w:tc>
      </w:tr>
      <w:tr>
        <w:tc>
          <w:tcPr>
            <w:tcW w:type="dxa" w:w="4320"/>
          </w:tcPr>
          <w:p>
            <w:r>
              <w:rPr>
                <w:rFonts w:ascii="Arial" w:hAnsi="Arial"/>
                <w:b/>
                <w:i w:val="0"/>
                <w:color w:val="000000"/>
                <w:sz w:val="22"/>
              </w:rPr>
              <w:t>Auteursrecht</w:t>
            </w:r>
          </w:p>
        </w:tc>
        <w:tc>
          <w:tcPr>
            <w:tcW w:type="dxa" w:w="4320"/>
          </w:tcPr>
          <w:p>
            <w:r>
              <w:rPr>
                <w:rFonts w:ascii="Arial" w:hAnsi="Arial"/>
                <w:b w:val="0"/>
                <w:i w:val="0"/>
                <w:color w:val="000000"/>
                <w:sz w:val="22"/>
              </w:rPr>
              <w:t>Een type intellectueel eigendom dat originele werken van auteurschap beschermt zodra een auteur het werk in een tastbare uitdrukkingsvorm vastlegt.</w:t>
            </w:r>
          </w:p>
        </w:tc>
      </w:tr>
      <w:tr>
        <w:tc>
          <w:tcPr>
            <w:tcW w:type="dxa" w:w="4320"/>
          </w:tcPr>
          <w:p>
            <w:r>
              <w:rPr>
                <w:rFonts w:ascii="Arial" w:hAnsi="Arial"/>
                <w:b/>
                <w:i w:val="0"/>
                <w:color w:val="000000"/>
                <w:sz w:val="22"/>
              </w:rPr>
              <w:t>Back-up</w:t>
            </w:r>
          </w:p>
        </w:tc>
        <w:tc>
          <w:tcPr>
            <w:tcW w:type="dxa" w:w="4320"/>
          </w:tcPr>
          <w:p>
            <w:r>
              <w:rPr>
                <w:rFonts w:ascii="Arial" w:hAnsi="Arial"/>
                <w:b w:val="0"/>
                <w:i w:val="0"/>
                <w:color w:val="000000"/>
                <w:sz w:val="22"/>
              </w:rPr>
              <w:t>Het proces van het dupliceren van gegevens en het opslaan ervan op een aparte locatie om de beschikbaarheid te garanderen in het geval van gegevensverlies door corruptie of calamiteiten.</w:t>
            </w:r>
          </w:p>
        </w:tc>
      </w:tr>
      <w:tr>
        <w:tc>
          <w:tcPr>
            <w:tcW w:type="dxa" w:w="4320"/>
          </w:tcPr>
          <w:p>
            <w:r>
              <w:rPr>
                <w:rFonts w:ascii="Arial" w:hAnsi="Arial"/>
                <w:b/>
                <w:i w:val="0"/>
                <w:color w:val="000000"/>
                <w:sz w:val="22"/>
              </w:rPr>
              <w:t>Beheersingsniveau</w:t>
            </w:r>
          </w:p>
        </w:tc>
        <w:tc>
          <w:tcPr>
            <w:tcW w:type="dxa" w:w="4320"/>
          </w:tcPr>
          <w:p>
            <w:r>
              <w:rPr>
                <w:rFonts w:ascii="Arial" w:hAnsi="Arial"/>
                <w:b w:val="0"/>
                <w:i w:val="0"/>
                <w:color w:val="000000"/>
                <w:sz w:val="22"/>
              </w:rPr>
              <w:t>In DigComp 3.0 beschrijven bekwaamheidsniveaus het niveau van verwerving van een digitale competentie door een individu, op basis van cognitieve uitdaging, taakcomplexiteit en mate van autonomie. DigComp 3.0 maakt onderscheid tussen vier bekwaamheidsniveaus (Basis, Gemiddeld, Geavanceerd en Zeer geavanceerd). Voor bestaande DigComp-gebruikers wordt de relatie tussen de DigComp 3.0-bekwaamheidsniveaus en eerdere versies van DigComp getoond in Bijlage 1 van het DigComp 3.0-raamwerk.</w:t>
            </w:r>
          </w:p>
        </w:tc>
      </w:tr>
      <w:tr>
        <w:tc>
          <w:tcPr>
            <w:tcW w:type="dxa" w:w="4320"/>
          </w:tcPr>
          <w:p>
            <w:r>
              <w:rPr>
                <w:rFonts w:ascii="Arial" w:hAnsi="Arial"/>
                <w:b/>
                <w:i w:val="0"/>
                <w:color w:val="000000"/>
                <w:sz w:val="22"/>
              </w:rPr>
              <w:t>Berekenbare en niet-berekenbare problemen</w:t>
            </w:r>
          </w:p>
        </w:tc>
        <w:tc>
          <w:tcPr>
            <w:tcW w:type="dxa" w:w="4320"/>
          </w:tcPr>
          <w:p>
            <w:r>
              <w:rPr>
                <w:rFonts w:ascii="Arial" w:hAnsi="Arial"/>
                <w:b w:val="0"/>
                <w:i w:val="0"/>
                <w:color w:val="000000"/>
                <w:sz w:val="22"/>
              </w:rPr>
              <w:t>Het onderscheid tussen berekenbare en niet-berekenbare problemen heeft betrekking op berekenbaarheid, d.w.z. het vermogen om te bepalen of een specifiek probleem kan worden opgelost door een computer, rekening houdend met factoren zoals middelen, machines en oplosbaarheid binnen praktische grenzen. Als een probleem door een computer kan worden opgelost, is het berekenbaar. Als dat niet het geval is, is het niet-berekenbaar.</w:t>
            </w:r>
          </w:p>
        </w:tc>
      </w:tr>
      <w:tr>
        <w:tc>
          <w:tcPr>
            <w:tcW w:type="dxa" w:w="4320"/>
          </w:tcPr>
          <w:p>
            <w:r>
              <w:rPr>
                <w:rFonts w:ascii="Arial" w:hAnsi="Arial"/>
                <w:b/>
                <w:i w:val="0"/>
                <w:color w:val="000000"/>
                <w:sz w:val="22"/>
              </w:rPr>
              <w:t>Besturingssysteem</w:t>
            </w:r>
          </w:p>
        </w:tc>
        <w:tc>
          <w:tcPr>
            <w:tcW w:type="dxa" w:w="4320"/>
          </w:tcPr>
          <w:p>
            <w:r>
              <w:rPr>
                <w:rFonts w:ascii="Arial" w:hAnsi="Arial"/>
                <w:b w:val="0"/>
                <w:i w:val="0"/>
                <w:color w:val="000000"/>
                <w:sz w:val="22"/>
              </w:rPr>
              <w:t>De systeemsoftware van een digitaal apparaat die de hardware- en bronnen van de computer beheert om gemeenschappelijke diensten voor computerprogramma's te leveren.</w:t>
            </w:r>
          </w:p>
        </w:tc>
      </w:tr>
      <w:tr>
        <w:tc>
          <w:tcPr>
            <w:tcW w:type="dxa" w:w="4320"/>
          </w:tcPr>
          <w:p>
            <w:r>
              <w:rPr>
                <w:rFonts w:ascii="Arial" w:hAnsi="Arial"/>
                <w:b/>
                <w:i w:val="0"/>
                <w:color w:val="000000"/>
                <w:sz w:val="22"/>
              </w:rPr>
              <w:t>Betrouwbare AI</w:t>
            </w:r>
          </w:p>
        </w:tc>
        <w:tc>
          <w:tcPr>
            <w:tcW w:type="dxa" w:w="4320"/>
          </w:tcPr>
          <w:p>
            <w:r>
              <w:rPr>
                <w:rFonts w:ascii="Arial" w:hAnsi="Arial"/>
                <w:b w:val="0"/>
                <w:i w:val="0"/>
                <w:color w:val="000000"/>
                <w:sz w:val="22"/>
              </w:rPr>
              <w:t>Betrouwbare AI heeft drie componenten: (1) het moet rechtmatig zijn en naleving van alle toepasselijke wet- en regelgeving waarborgen (2) het moet ethisch zijn, blijk geven van respect voor en naleving van ethische principes en waarden en (3) het moet robuust zijn, zowel vanuit technisch als sociaal perspectief, aangezien AI-systemen zelfs met goede bedoelingen onbedoelde schade kunnen aanrichten. Betrouwbare AI betreft niet alleen de betrouwbaarheid van het AI-systeem zelf, maar omvat ook de betrouwbaarheid van alle processen en actoren die deel uitmaken van de levenscyclus van het AI-systeem.</w:t>
            </w:r>
          </w:p>
        </w:tc>
      </w:tr>
      <w:tr>
        <w:tc>
          <w:tcPr>
            <w:tcW w:type="dxa" w:w="4320"/>
          </w:tcPr>
          <w:p>
            <w:r>
              <w:rPr>
                <w:rFonts w:ascii="Arial" w:hAnsi="Arial"/>
                <w:b/>
                <w:i w:val="0"/>
                <w:color w:val="000000"/>
                <w:sz w:val="22"/>
              </w:rPr>
              <w:t>Big data</w:t>
            </w:r>
          </w:p>
        </w:tc>
        <w:tc>
          <w:tcPr>
            <w:tcW w:type="dxa" w:w="4320"/>
          </w:tcPr>
          <w:p>
            <w:r>
              <w:rPr>
                <w:rFonts w:ascii="Arial" w:hAnsi="Arial"/>
                <w:b w:val="0"/>
                <w:i w:val="0"/>
                <w:color w:val="000000"/>
                <w:sz w:val="22"/>
              </w:rPr>
              <w:t>Enorme en complexe datasets die traditionele tools voor gegevensbeheer niet kunnen verwerken. Big data kan worden gekenmerkt door een groot volume, een hoge variëteit (vaak in ongestructureerde of semi-gestructureerde formaten), een hoge snelheid bij het genereren en verwerken, en variërende gradaties van kwaliteit en betrouwbaarheid.</w:t>
            </w:r>
          </w:p>
        </w:tc>
      </w:tr>
      <w:tr>
        <w:tc>
          <w:tcPr>
            <w:tcW w:type="dxa" w:w="4320"/>
          </w:tcPr>
          <w:p>
            <w:r>
              <w:rPr>
                <w:rFonts w:ascii="Arial" w:hAnsi="Arial"/>
                <w:b/>
                <w:i w:val="0"/>
                <w:color w:val="000000"/>
                <w:sz w:val="22"/>
              </w:rPr>
              <w:t>chatbot</w:t>
            </w:r>
          </w:p>
        </w:tc>
        <w:tc>
          <w:tcPr>
            <w:tcW w:type="dxa" w:w="4320"/>
          </w:tcPr>
          <w:p>
            <w:r>
              <w:rPr>
                <w:rFonts w:ascii="Arial" w:hAnsi="Arial"/>
                <w:b w:val="0"/>
                <w:i w:val="0"/>
                <w:color w:val="000000"/>
                <w:sz w:val="22"/>
              </w:rPr>
              <w:t>Een computerprogramma ontworpen om een gesprek met een mens te simuleren, meestal via het internet, in het bijzonder een programma dat wordt gebruikt om informatie of hulp te bieden aan de gebruiker als onderdeel van een geautomatiseerde dienst.</w:t>
            </w:r>
          </w:p>
        </w:tc>
      </w:tr>
      <w:tr>
        <w:tc>
          <w:tcPr>
            <w:tcW w:type="dxa" w:w="4320"/>
          </w:tcPr>
          <w:p>
            <w:r>
              <w:rPr>
                <w:rFonts w:ascii="Arial" w:hAnsi="Arial"/>
                <w:b/>
                <w:i w:val="0"/>
                <w:color w:val="000000"/>
                <w:sz w:val="22"/>
              </w:rPr>
              <w:t>circulaire-economie-model</w:t>
            </w:r>
          </w:p>
        </w:tc>
        <w:tc>
          <w:tcPr>
            <w:tcW w:type="dxa" w:w="4320"/>
          </w:tcPr>
          <w:p>
            <w:r>
              <w:rPr>
                <w:rFonts w:ascii="Arial" w:hAnsi="Arial"/>
                <w:b w:val="0"/>
                <w:i w:val="0"/>
                <w:color w:val="000000"/>
                <w:sz w:val="22"/>
              </w:rPr>
              <w:t>Een systeem waarin producten en materialen worden gedeeld, geleased, hergebruikt, gerepareerd, opgeknapt en gerecycled in plaats van te worden weggegooid.</w:t>
            </w:r>
          </w:p>
        </w:tc>
      </w:tr>
      <w:tr>
        <w:tc>
          <w:tcPr>
            <w:tcW w:type="dxa" w:w="4320"/>
          </w:tcPr>
          <w:p>
            <w:r>
              <w:rPr>
                <w:rFonts w:ascii="Arial" w:hAnsi="Arial"/>
                <w:b/>
                <w:i w:val="0"/>
                <w:color w:val="000000"/>
                <w:sz w:val="22"/>
              </w:rPr>
              <w:t>Clickbait</w:t>
            </w:r>
          </w:p>
        </w:tc>
        <w:tc>
          <w:tcPr>
            <w:tcW w:type="dxa" w:w="4320"/>
          </w:tcPr>
          <w:p>
            <w:r>
              <w:rPr>
                <w:rFonts w:ascii="Arial" w:hAnsi="Arial"/>
                <w:b w:val="0"/>
                <w:i w:val="0"/>
                <w:color w:val="000000"/>
                <w:sz w:val="22"/>
              </w:rPr>
              <w:t>Een tekst of een thumbnail-link die is ontworpen om de aandacht te trekken en gebruikers te verleiden om op die link te klikken en het gelinkte stuk online content te bekijken, te lezen, te streamen of te beluisteren. De content is doorgaans misleidend, gesensationaliseerd of op andere wijze misleidend. Ook wel linkbait genoemd.</w:t>
            </w:r>
          </w:p>
        </w:tc>
      </w:tr>
      <w:tr>
        <w:tc>
          <w:tcPr>
            <w:tcW w:type="dxa" w:w="4320"/>
          </w:tcPr>
          <w:p>
            <w:r>
              <w:rPr>
                <w:rFonts w:ascii="Arial" w:hAnsi="Arial"/>
                <w:b/>
                <w:i w:val="0"/>
                <w:color w:val="000000"/>
                <w:sz w:val="22"/>
              </w:rPr>
              <w:t>Clouddiensten</w:t>
            </w:r>
          </w:p>
        </w:tc>
        <w:tc>
          <w:tcPr>
            <w:tcW w:type="dxa" w:w="4320"/>
          </w:tcPr>
          <w:p>
            <w:r>
              <w:rPr>
                <w:rFonts w:ascii="Arial" w:hAnsi="Arial"/>
                <w:b w:val="0"/>
                <w:i w:val="0"/>
                <w:color w:val="000000"/>
                <w:sz w:val="22"/>
              </w:rPr>
              <w:t>Infrastructuur, platforms of software die worden gehost door externe providers en via het internet beschikbaar worden gesteld aan gebruikers. Alle infrastructuur, platforms, software of technologie waartoe gebruikers toegang hebben via het internet zonder dat aanvullende softwaredownloads nodig zijn, kunnen worden beschouwd als cloudcomputingdiensten.</w:t>
            </w:r>
          </w:p>
        </w:tc>
      </w:tr>
      <w:tr>
        <w:tc>
          <w:tcPr>
            <w:tcW w:type="dxa" w:w="4320"/>
          </w:tcPr>
          <w:p>
            <w:r>
              <w:rPr>
                <w:rFonts w:ascii="Arial" w:hAnsi="Arial"/>
                <w:b/>
                <w:i w:val="0"/>
                <w:color w:val="000000"/>
                <w:sz w:val="22"/>
              </w:rPr>
              <w:t>Competentiebeschrijving</w:t>
            </w:r>
          </w:p>
        </w:tc>
        <w:tc>
          <w:tcPr>
            <w:tcW w:type="dxa" w:w="4320"/>
          </w:tcPr>
          <w:p>
            <w:r>
              <w:rPr>
                <w:rFonts w:ascii="Arial" w:hAnsi="Arial"/>
                <w:b w:val="0"/>
                <w:i w:val="0"/>
                <w:color w:val="000000"/>
                <w:sz w:val="22"/>
              </w:rPr>
              <w:t>In DigComp 3.0 zijn competentiebeschrijvingen korte, concrete en technologieneutrale beschrijvingen van het soort vaardigheden waarvan verwacht mag worden dat individuen op het basis-, gemiddelde, geavanceerde en zeer geavanceerde niveau ze kennen of toepassen, voor elk van de 21 competenties. Deze worden getoond in Sectie 3 van het DigComp 3.0-raamwerk. Competentiebeschrijvingen zijn gebaseerd op de DigComp 3.0-leerresultaten in Bijlage 2 van het DigComp 3.0-raamwerk en bevatten alle belangrijke inhoud van de leerresultaten.</w:t>
            </w:r>
          </w:p>
        </w:tc>
      </w:tr>
      <w:tr>
        <w:tc>
          <w:tcPr>
            <w:tcW w:type="dxa" w:w="4320"/>
          </w:tcPr>
          <w:p>
            <w:r>
              <w:rPr>
                <w:rFonts w:ascii="Arial" w:hAnsi="Arial"/>
                <w:b/>
                <w:i w:val="0"/>
                <w:color w:val="000000"/>
                <w:sz w:val="22"/>
              </w:rPr>
              <w:t>Complex (taak)</w:t>
            </w:r>
          </w:p>
        </w:tc>
        <w:tc>
          <w:tcPr>
            <w:tcW w:type="dxa" w:w="4320"/>
          </w:tcPr>
          <w:p>
            <w:r>
              <w:rPr>
                <w:rFonts w:ascii="Arial" w:hAnsi="Arial"/>
                <w:b w:val="0"/>
                <w:i w:val="0"/>
                <w:color w:val="000000"/>
                <w:sz w:val="22"/>
              </w:rPr>
              <w:t>In DigComp 3.0 wordt de term 'complex' gebruikt met betrekking tot bekwaamheidsniveaus en leerresultaten. In deze context is een complexe taak een taak die niet goed gedefinieerd is en bestaat uit veel verschillende en onderling verbonden delen, en daarom ingewikkeld en niet gemakkelijk te begrijpen of te voltooien is. De complexiteit van een taak wordt vaak beschreven op basis van taakkenmerken – maar de ervaring en kenmerken van een individu dat een taak uitvoert, zijn ook relevant.</w:t>
            </w:r>
          </w:p>
        </w:tc>
      </w:tr>
      <w:tr>
        <w:tc>
          <w:tcPr>
            <w:tcW w:type="dxa" w:w="4320"/>
          </w:tcPr>
          <w:p>
            <w:r>
              <w:rPr>
                <w:rFonts w:ascii="Arial" w:hAnsi="Arial"/>
                <w:b/>
                <w:i w:val="0"/>
                <w:color w:val="000000"/>
                <w:sz w:val="22"/>
              </w:rPr>
              <w:t>Computational thinking</w:t>
            </w:r>
          </w:p>
        </w:tc>
        <w:tc>
          <w:tcPr>
            <w:tcW w:type="dxa" w:w="4320"/>
          </w:tcPr>
          <w:p>
            <w:r>
              <w:rPr>
                <w:rFonts w:ascii="Arial" w:hAnsi="Arial"/>
                <w:b w:val="0"/>
                <w:i w:val="0"/>
                <w:color w:val="000000"/>
                <w:sz w:val="22"/>
              </w:rPr>
              <w:t>Computational thinking in DigComp 3.0 is in overeenstemming met de definitie van de International Computer and Information Literacy Study (ICILS): het vermogen van een individu om aspecten van echte wereldproblemen te herkennen die geschikt zijn voor computationele formulering en om algoritmische oplossingen voor die problemen te evalueren en te ontwikkelen, zodat de oplossingen met een computer operationeel kunnen worden gemaakt. In DigComp 3.0 wordt Computational thinking beschouwd als een transversale competentie, d.w.z. het heeft betrekking op en vergemakkelijkt veel van de andere DigComp-competenties zoals probleemoplossing, informatie en data, en contentcreatie.</w:t>
            </w:r>
          </w:p>
        </w:tc>
      </w:tr>
      <w:tr>
        <w:tc>
          <w:tcPr>
            <w:tcW w:type="dxa" w:w="4320"/>
          </w:tcPr>
          <w:p>
            <w:r>
              <w:rPr>
                <w:rFonts w:ascii="Arial" w:hAnsi="Arial"/>
                <w:b/>
                <w:i w:val="0"/>
                <w:color w:val="000000"/>
                <w:sz w:val="22"/>
              </w:rPr>
              <w:t>Computerprogramma</w:t>
            </w:r>
          </w:p>
        </w:tc>
        <w:tc>
          <w:tcPr>
            <w:tcW w:type="dxa" w:w="4320"/>
          </w:tcPr>
          <w:p>
            <w:r>
              <w:rPr>
                <w:rFonts w:ascii="Arial" w:hAnsi="Arial"/>
                <w:b w:val="0"/>
                <w:i w:val="0"/>
                <w:color w:val="000000"/>
                <w:sz w:val="22"/>
              </w:rPr>
              <w:t>Een reeks of set instructies in een programmeertaal die door een computer moet worden uitgevoerd.</w:t>
            </w:r>
          </w:p>
        </w:tc>
      </w:tr>
      <w:tr>
        <w:tc>
          <w:tcPr>
            <w:tcW w:type="dxa" w:w="4320"/>
          </w:tcPr>
          <w:p>
            <w:r>
              <w:rPr>
                <w:rFonts w:ascii="Arial" w:hAnsi="Arial"/>
                <w:b/>
                <w:i w:val="0"/>
                <w:color w:val="000000"/>
                <w:sz w:val="22"/>
              </w:rPr>
              <w:t>Constructive alignment</w:t>
            </w:r>
          </w:p>
        </w:tc>
        <w:tc>
          <w:tcPr>
            <w:tcW w:type="dxa" w:w="4320"/>
          </w:tcPr>
          <w:p>
            <w:r>
              <w:rPr>
                <w:rFonts w:ascii="Arial" w:hAnsi="Arial"/>
                <w:b w:val="0"/>
                <w:i w:val="0"/>
                <w:color w:val="000000"/>
                <w:sz w:val="22"/>
              </w:rPr>
              <w:t>Een interactief systeem waarin onderwijs- en leeractiviteiten en beoordelingsopdrachten allebei zijn afgestemd op de beoogde leerresultaten en elkaar versterken.</w:t>
            </w:r>
          </w:p>
        </w:tc>
      </w:tr>
      <w:tr>
        <w:tc>
          <w:tcPr>
            <w:tcW w:type="dxa" w:w="4320"/>
          </w:tcPr>
          <w:p>
            <w:r>
              <w:rPr>
                <w:rFonts w:ascii="Arial" w:hAnsi="Arial"/>
                <w:b/>
                <w:i w:val="0"/>
                <w:color w:val="000000"/>
                <w:sz w:val="22"/>
              </w:rPr>
              <w:t>Creative Commons (licenties)</w:t>
            </w:r>
          </w:p>
        </w:tc>
        <w:tc>
          <w:tcPr>
            <w:tcW w:type="dxa" w:w="4320"/>
          </w:tcPr>
          <w:p>
            <w:r>
              <w:rPr>
                <w:rFonts w:ascii="Arial" w:hAnsi="Arial"/>
                <w:b w:val="0"/>
                <w:i w:val="0"/>
                <w:color w:val="000000"/>
                <w:sz w:val="22"/>
              </w:rPr>
              <w:t>Een gestandaardiseerde manier om toestemming te geven voor het gebruik van creatief werk onder het auteursrecht. Afhankelijk van wat het creatieve werk is en hoe het moet worden gedeeld, kan de maker, of dit nu een individu of een organisatie is, kiezen uit zes soorten Creative Commons-licenties.</w:t>
            </w:r>
          </w:p>
        </w:tc>
      </w:tr>
      <w:tr>
        <w:tc>
          <w:tcPr>
            <w:tcW w:type="dxa" w:w="4320"/>
          </w:tcPr>
          <w:p>
            <w:r>
              <w:rPr>
                <w:rFonts w:ascii="Arial" w:hAnsi="Arial"/>
                <w:b/>
                <w:i w:val="0"/>
                <w:color w:val="000000"/>
                <w:sz w:val="22"/>
              </w:rPr>
              <w:t>Cyberaanval</w:t>
            </w:r>
          </w:p>
        </w:tc>
        <w:tc>
          <w:tcPr>
            <w:tcW w:type="dxa" w:w="4320"/>
          </w:tcPr>
          <w:p>
            <w:r>
              <w:rPr>
                <w:rFonts w:ascii="Arial" w:hAnsi="Arial"/>
                <w:b w:val="0"/>
                <w:i w:val="0"/>
                <w:color w:val="000000"/>
                <w:sz w:val="22"/>
              </w:rPr>
              <w:t>Een ongeautoriseerde actie tegen computerinfrastructuur die de vertrouwelijkheid, integriteit of beschikbaarheid van de inhoud ervan in gevaar brengt.</w:t>
            </w:r>
          </w:p>
        </w:tc>
      </w:tr>
      <w:tr>
        <w:tc>
          <w:tcPr>
            <w:tcW w:type="dxa" w:w="4320"/>
          </w:tcPr>
          <w:p>
            <w:r>
              <w:rPr>
                <w:rFonts w:ascii="Arial" w:hAnsi="Arial"/>
                <w:b/>
                <w:i w:val="0"/>
                <w:color w:val="000000"/>
                <w:sz w:val="22"/>
              </w:rPr>
              <w:t>Cybercriminaliteit</w:t>
            </w:r>
          </w:p>
        </w:tc>
        <w:tc>
          <w:tcPr>
            <w:tcW w:type="dxa" w:w="4320"/>
          </w:tcPr>
          <w:p>
            <w:r>
              <w:rPr>
                <w:rFonts w:ascii="Arial" w:hAnsi="Arial"/>
                <w:b w:val="0"/>
                <w:i w:val="0"/>
                <w:color w:val="000000"/>
                <w:sz w:val="22"/>
              </w:rPr>
              <w:t>Het gebruik van digitale technologie om een misdrijf te plegen of te vergemakkelijken. Cybercriminaliteit kan worden gecategoriseerd als cyber-afhankelijk (een misdrijf dat alleen kan worden gepleegd met behulp van digitale technologie) of cyber-ondersteund (een misdrijf dat wordt gefaciliteerd door digitale technologie).</w:t>
            </w:r>
          </w:p>
        </w:tc>
      </w:tr>
      <w:tr>
        <w:tc>
          <w:tcPr>
            <w:tcW w:type="dxa" w:w="4320"/>
          </w:tcPr>
          <w:p>
            <w:r>
              <w:rPr>
                <w:rFonts w:ascii="Arial" w:hAnsi="Arial"/>
                <w:b/>
                <w:i w:val="0"/>
                <w:color w:val="000000"/>
                <w:sz w:val="22"/>
              </w:rPr>
              <w:t>Cyberdreiging</w:t>
            </w:r>
          </w:p>
        </w:tc>
        <w:tc>
          <w:tcPr>
            <w:tcW w:type="dxa" w:w="4320"/>
          </w:tcPr>
          <w:p>
            <w:r>
              <w:rPr>
                <w:rFonts w:ascii="Arial" w:hAnsi="Arial"/>
                <w:b w:val="0"/>
                <w:i w:val="0"/>
                <w:color w:val="000000"/>
                <w:sz w:val="22"/>
              </w:rPr>
              <w:t>Elke kwaadaardige activiteit gericht op het in gevaar brengen van de integriteit, vertrouwelijkheid of beschikbaarheid van digitale systemen, netwerken of gegevens.</w:t>
            </w:r>
          </w:p>
        </w:tc>
      </w:tr>
      <w:tr>
        <w:tc>
          <w:tcPr>
            <w:tcW w:type="dxa" w:w="4320"/>
          </w:tcPr>
          <w:p>
            <w:r>
              <w:rPr>
                <w:rFonts w:ascii="Arial" w:hAnsi="Arial"/>
                <w:b/>
                <w:i w:val="0"/>
                <w:color w:val="000000"/>
                <w:sz w:val="22"/>
              </w:rPr>
              <w:t>Cyberpesten</w:t>
            </w:r>
          </w:p>
        </w:tc>
        <w:tc>
          <w:tcPr>
            <w:tcW w:type="dxa" w:w="4320"/>
          </w:tcPr>
          <w:p>
            <w:r>
              <w:rPr>
                <w:rFonts w:ascii="Arial" w:hAnsi="Arial"/>
                <w:b w:val="0"/>
                <w:i w:val="0"/>
                <w:color w:val="000000"/>
                <w:sz w:val="22"/>
              </w:rPr>
              <w:t>Momenteel (2025) is de meest geciteerde definitie van cyberpesten een agressieve, opzettelijke handeling uitgevoerd door een groep of individu, met gebruikmaking van elektronische vormen van contact, herhaaldelijk en gedurende langere tijd tegen een slachtoffer dat zich niet gemakkelijk kan verdedigen.</w:t>
            </w:r>
          </w:p>
        </w:tc>
      </w:tr>
      <w:tr>
        <w:tc>
          <w:tcPr>
            <w:tcW w:type="dxa" w:w="4320"/>
          </w:tcPr>
          <w:p>
            <w:r>
              <w:rPr>
                <w:rFonts w:ascii="Arial" w:hAnsi="Arial"/>
                <w:b/>
                <w:i w:val="0"/>
                <w:color w:val="000000"/>
                <w:sz w:val="22"/>
              </w:rPr>
              <w:t>Cybersecurity</w:t>
            </w:r>
          </w:p>
        </w:tc>
        <w:tc>
          <w:tcPr>
            <w:tcW w:type="dxa" w:w="4320"/>
          </w:tcPr>
          <w:p>
            <w:r>
              <w:rPr>
                <w:rFonts w:ascii="Arial" w:hAnsi="Arial"/>
                <w:b w:val="0"/>
                <w:i w:val="0"/>
                <w:color w:val="000000"/>
                <w:sz w:val="22"/>
              </w:rPr>
              <w:t>Acties, processen en tools die ontworpen zijn om een persoon, organisatie of land en hun digitale apparaten te beschermen tegen misdaad of aanvallen die via het internet worden uitgevoerd.</w:t>
            </w:r>
          </w:p>
        </w:tc>
      </w:tr>
      <w:tr>
        <w:tc>
          <w:tcPr>
            <w:tcW w:type="dxa" w:w="4320"/>
          </w:tcPr>
          <w:p>
            <w:r>
              <w:rPr>
                <w:rFonts w:ascii="Arial" w:hAnsi="Arial"/>
                <w:b/>
                <w:i w:val="0"/>
                <w:color w:val="000000"/>
                <w:sz w:val="22"/>
              </w:rPr>
              <w:t>Data</w:t>
            </w:r>
          </w:p>
        </w:tc>
        <w:tc>
          <w:tcPr>
            <w:tcW w:type="dxa" w:w="4320"/>
          </w:tcPr>
          <w:p>
            <w:r>
              <w:rPr>
                <w:rFonts w:ascii="Arial" w:hAnsi="Arial"/>
                <w:b w:val="0"/>
                <w:i w:val="0"/>
                <w:color w:val="000000"/>
                <w:sz w:val="22"/>
              </w:rPr>
              <w:t>Elke digitale representatie van handelingen, feiten of informatie en elke compilatie van dergelijke handelingen, feiten of informatie, inclusief in de vorm van geluid, visuele of audiovisuele opname.</w:t>
            </w:r>
          </w:p>
        </w:tc>
      </w:tr>
      <w:tr>
        <w:tc>
          <w:tcPr>
            <w:tcW w:type="dxa" w:w="4320"/>
          </w:tcPr>
          <w:p>
            <w:r>
              <w:rPr>
                <w:rFonts w:ascii="Arial" w:hAnsi="Arial"/>
                <w:b/>
                <w:i w:val="0"/>
                <w:color w:val="000000"/>
                <w:sz w:val="22"/>
              </w:rPr>
              <w:t>Data-analyse</w:t>
            </w:r>
          </w:p>
        </w:tc>
        <w:tc>
          <w:tcPr>
            <w:tcW w:type="dxa" w:w="4320"/>
          </w:tcPr>
          <w:p>
            <w:r>
              <w:rPr>
                <w:rFonts w:ascii="Arial" w:hAnsi="Arial"/>
                <w:b w:val="0"/>
                <w:i w:val="0"/>
                <w:color w:val="000000"/>
                <w:sz w:val="22"/>
              </w:rPr>
              <w:t>Het systematische proces van het verzamelen, opschonen, transformeren en interpreteren van gegevens om nuttige informatie te ontdekken, patronen te herkennen en besluitvorming te ondersteunen.</w:t>
            </w:r>
          </w:p>
        </w:tc>
      </w:tr>
      <w:tr>
        <w:tc>
          <w:tcPr>
            <w:tcW w:type="dxa" w:w="4320"/>
          </w:tcPr>
          <w:p>
            <w:r>
              <w:rPr>
                <w:rFonts w:ascii="Arial" w:hAnsi="Arial"/>
                <w:b/>
                <w:i w:val="0"/>
                <w:color w:val="000000"/>
                <w:sz w:val="22"/>
              </w:rPr>
              <w:t>Datacentrum</w:t>
            </w:r>
          </w:p>
        </w:tc>
        <w:tc>
          <w:tcPr>
            <w:tcW w:type="dxa" w:w="4320"/>
          </w:tcPr>
          <w:p>
            <w:r>
              <w:rPr>
                <w:rFonts w:ascii="Arial" w:hAnsi="Arial"/>
                <w:b w:val="0"/>
                <w:i w:val="0"/>
                <w:color w:val="000000"/>
                <w:sz w:val="22"/>
              </w:rPr>
              <w:t>Een fysieke ruimte, gebouw of faciliteit die digitale technologische infrastructuur huisvest voor het bouwen, draaien en leveren van applicaties en diensten. Het slaat ook de gegevens op die bij die applicaties en diensten horen en beheert deze. Een datacentrum omvat gewoonlijk back-upcomponenten en infrastructuur voor stroomvoorziening, datacommunicatieverbindingen, omgevingscontroles (bijv. airconditioning, brandbestrijding) en diverse beveiligingsapparaten.</w:t>
            </w:r>
          </w:p>
        </w:tc>
      </w:tr>
      <w:tr>
        <w:tc>
          <w:tcPr>
            <w:tcW w:type="dxa" w:w="4320"/>
          </w:tcPr>
          <w:p>
            <w:r>
              <w:rPr>
                <w:rFonts w:ascii="Arial" w:hAnsi="Arial"/>
                <w:b/>
                <w:i w:val="0"/>
                <w:color w:val="000000"/>
                <w:sz w:val="22"/>
              </w:rPr>
              <w:t>Debunking</w:t>
            </w:r>
          </w:p>
        </w:tc>
        <w:tc>
          <w:tcPr>
            <w:tcW w:type="dxa" w:w="4320"/>
          </w:tcPr>
          <w:p>
            <w:r>
              <w:rPr>
                <w:rFonts w:ascii="Arial" w:hAnsi="Arial"/>
                <w:b w:val="0"/>
                <w:i w:val="0"/>
                <w:color w:val="000000"/>
                <w:sz w:val="22"/>
              </w:rPr>
              <w:t>Het proces van het blootleggen van onjuistheden, valse informatie of mythen in verschillende theorieën, overtuigingen of beweringen. Het omvat het kritisch analyseren van bewijsmateriaal, het weerleggen van misvattingen en het onthullen van de waarheid of feitelijke informatie over een bepaald onderwerp.</w:t>
            </w:r>
          </w:p>
        </w:tc>
      </w:tr>
      <w:tr>
        <w:tc>
          <w:tcPr>
            <w:tcW w:type="dxa" w:w="4320"/>
          </w:tcPr>
          <w:p>
            <w:r>
              <w:rPr>
                <w:rFonts w:ascii="Arial" w:hAnsi="Arial"/>
                <w:b/>
                <w:i w:val="0"/>
                <w:color w:val="000000"/>
                <w:sz w:val="22"/>
              </w:rPr>
              <w:t>Deepfake</w:t>
            </w:r>
          </w:p>
        </w:tc>
        <w:tc>
          <w:tcPr>
            <w:tcW w:type="dxa" w:w="4320"/>
          </w:tcPr>
          <w:p>
            <w:r>
              <w:rPr>
                <w:rFonts w:ascii="Arial" w:hAnsi="Arial"/>
                <w:b w:val="0"/>
                <w:i w:val="0"/>
                <w:color w:val="000000"/>
                <w:sz w:val="22"/>
              </w:rPr>
              <w:t>Gegenereerde of gemanipuleerde beeld-, audio- of video-content die lijkt op bestaande personen, objecten, plaatsen, entiteiten of gebeurtenissen en die voor een persoon ten onrechte authentiek of waarheidsgetrouw zou lijken.</w:t>
            </w:r>
          </w:p>
        </w:tc>
      </w:tr>
      <w:tr>
        <w:tc>
          <w:tcPr>
            <w:tcW w:type="dxa" w:w="4320"/>
          </w:tcPr>
          <w:p>
            <w:r>
              <w:rPr>
                <w:rFonts w:ascii="Arial" w:hAnsi="Arial"/>
                <w:b/>
                <w:i w:val="0"/>
                <w:color w:val="000000"/>
                <w:sz w:val="22"/>
              </w:rPr>
              <w:t>Design thinking</w:t>
            </w:r>
          </w:p>
        </w:tc>
        <w:tc>
          <w:tcPr>
            <w:tcW w:type="dxa" w:w="4320"/>
          </w:tcPr>
          <w:p>
            <w:r>
              <w:rPr>
                <w:rFonts w:ascii="Arial" w:hAnsi="Arial"/>
                <w:b w:val="0"/>
                <w:i w:val="0"/>
                <w:color w:val="000000"/>
                <w:sz w:val="22"/>
              </w:rPr>
              <w:t>Een aanpak voor probleemoplossing en innovatie die gericht is op mensgericht ontwerp, met vier fasen (verhelderen, ideeën genereren, ontwikkelen en implementeren).</w:t>
            </w:r>
          </w:p>
        </w:tc>
      </w:tr>
      <w:tr>
        <w:tc>
          <w:tcPr>
            <w:tcW w:type="dxa" w:w="4320"/>
          </w:tcPr>
          <w:p>
            <w:r>
              <w:rPr>
                <w:rFonts w:ascii="Arial" w:hAnsi="Arial"/>
                <w:b/>
                <w:i w:val="0"/>
                <w:color w:val="000000"/>
                <w:sz w:val="22"/>
              </w:rPr>
              <w:t>Desinformatie</w:t>
            </w:r>
          </w:p>
        </w:tc>
        <w:tc>
          <w:tcPr>
            <w:tcW w:type="dxa" w:w="4320"/>
          </w:tcPr>
          <w:p>
            <w:r>
              <w:rPr>
                <w:rFonts w:ascii="Arial" w:hAnsi="Arial"/>
                <w:b w:val="0"/>
                <w:i w:val="0"/>
                <w:color w:val="000000"/>
                <w:sz w:val="22"/>
              </w:rPr>
              <w:t>Onjuiste of misleidende informatie die opzettelijk is gecreëerd en verspreid om mensen te misleiden, ook voor economisch gewin of om politieke of publieke schade te veroorzaken.</w:t>
            </w:r>
          </w:p>
        </w:tc>
      </w:tr>
      <w:tr>
        <w:tc>
          <w:tcPr>
            <w:tcW w:type="dxa" w:w="4320"/>
          </w:tcPr>
          <w:p>
            <w:r>
              <w:rPr>
                <w:rFonts w:ascii="Arial" w:hAnsi="Arial"/>
                <w:b/>
                <w:i w:val="0"/>
                <w:color w:val="000000"/>
                <w:sz w:val="22"/>
              </w:rPr>
              <w:t>Digitaal apparaat</w:t>
            </w:r>
          </w:p>
        </w:tc>
        <w:tc>
          <w:tcPr>
            <w:tcW w:type="dxa" w:w="4320"/>
          </w:tcPr>
          <w:p>
            <w:r>
              <w:rPr>
                <w:rFonts w:ascii="Arial" w:hAnsi="Arial"/>
                <w:b w:val="0"/>
                <w:i w:val="0"/>
                <w:color w:val="000000"/>
                <w:sz w:val="22"/>
              </w:rPr>
              <w:t>Een apparaat dat een computer of microcontroller bevat. Veelvoorkomende digitale apparaten zijn laptopcomputers, desktopcomputers, smartphones, tablets, smartwatches en smart-tv's.</w:t>
            </w:r>
          </w:p>
        </w:tc>
      </w:tr>
      <w:tr>
        <w:tc>
          <w:tcPr>
            <w:tcW w:type="dxa" w:w="4320"/>
          </w:tcPr>
          <w:p>
            <w:r>
              <w:rPr>
                <w:rFonts w:ascii="Arial" w:hAnsi="Arial"/>
                <w:b/>
                <w:i w:val="0"/>
                <w:color w:val="000000"/>
                <w:sz w:val="22"/>
              </w:rPr>
              <w:t>Digitaal burgerschap</w:t>
            </w:r>
          </w:p>
        </w:tc>
        <w:tc>
          <w:tcPr>
            <w:tcW w:type="dxa" w:w="4320"/>
          </w:tcPr>
          <w:p>
            <w:r>
              <w:rPr>
                <w:rFonts w:ascii="Arial" w:hAnsi="Arial"/>
                <w:b w:val="0"/>
                <w:i w:val="0"/>
                <w:color w:val="000000"/>
                <w:sz w:val="22"/>
              </w:rPr>
              <w:t>Het vermogen om actief, continu en verantwoordelijk deel te nemen aan online en offline gemeenschappen, door middel van competente en positieve betrokkenheid bij digitale technologie.</w:t>
            </w:r>
          </w:p>
        </w:tc>
      </w:tr>
      <w:tr>
        <w:tc>
          <w:tcPr>
            <w:tcW w:type="dxa" w:w="4320"/>
          </w:tcPr>
          <w:p>
            <w:r>
              <w:rPr>
                <w:rFonts w:ascii="Arial" w:hAnsi="Arial"/>
                <w:b/>
                <w:i w:val="0"/>
                <w:color w:val="000000"/>
                <w:sz w:val="22"/>
              </w:rPr>
              <w:t>Digitale communicatie</w:t>
            </w:r>
          </w:p>
        </w:tc>
        <w:tc>
          <w:tcPr>
            <w:tcW w:type="dxa" w:w="4320"/>
          </w:tcPr>
          <w:p>
            <w:r>
              <w:rPr>
                <w:rFonts w:ascii="Arial" w:hAnsi="Arial"/>
                <w:b w:val="0"/>
                <w:i w:val="0"/>
                <w:color w:val="000000"/>
                <w:sz w:val="22"/>
              </w:rPr>
              <w:t>Communicatie met behulp van digitale technologie. Er bestaan verschillende vormen van communicatie, bijv. synchrone communicatie (realtime communicatie) en asynchrone (niet-gelijktijdige communicatie) en deze kunnen plaatsvinden in de vormen één-op-één, één-op-veel of veel-op-veel.</w:t>
            </w:r>
          </w:p>
        </w:tc>
      </w:tr>
      <w:tr>
        <w:tc>
          <w:tcPr>
            <w:tcW w:type="dxa" w:w="4320"/>
          </w:tcPr>
          <w:p>
            <w:r>
              <w:rPr>
                <w:rFonts w:ascii="Arial" w:hAnsi="Arial"/>
                <w:b/>
                <w:i w:val="0"/>
                <w:color w:val="000000"/>
                <w:sz w:val="22"/>
              </w:rPr>
              <w:t>Digitale communicatietool</w:t>
            </w:r>
          </w:p>
        </w:tc>
        <w:tc>
          <w:tcPr>
            <w:tcW w:type="dxa" w:w="4320"/>
          </w:tcPr>
          <w:p>
            <w:r>
              <w:rPr>
                <w:rFonts w:ascii="Arial" w:hAnsi="Arial"/>
                <w:b w:val="0"/>
                <w:i w:val="0"/>
                <w:color w:val="000000"/>
                <w:sz w:val="22"/>
              </w:rPr>
              <w:t>Digitale technologie die zijn ontworpen om digitale communicatie te vergemakkelijken. Ze omvatten instant messaging, videoconferenties, e-mail, communicatiefuncties in sociale media en digitale samenwerkingstools, en communicatiefuncties in digitale platforms en diensten zoals in e-learning en online klantondersteuning.</w:t>
            </w:r>
          </w:p>
        </w:tc>
      </w:tr>
      <w:tr>
        <w:tc>
          <w:tcPr>
            <w:tcW w:type="dxa" w:w="4320"/>
          </w:tcPr>
          <w:p>
            <w:r>
              <w:rPr>
                <w:rFonts w:ascii="Arial" w:hAnsi="Arial"/>
                <w:b/>
                <w:i w:val="0"/>
                <w:color w:val="000000"/>
                <w:sz w:val="22"/>
              </w:rPr>
              <w:t>Digitale content</w:t>
            </w:r>
          </w:p>
        </w:tc>
        <w:tc>
          <w:tcPr>
            <w:tcW w:type="dxa" w:w="4320"/>
          </w:tcPr>
          <w:p>
            <w:r>
              <w:rPr>
                <w:rFonts w:ascii="Arial" w:hAnsi="Arial"/>
                <w:b w:val="0"/>
                <w:i w:val="0"/>
                <w:color w:val="000000"/>
                <w:sz w:val="22"/>
              </w:rPr>
              <w:t>Een breed scala aan informatie en gegevens (waaronder bijvoorbeeld computerprogramma's, apps, games, muziek, video's of teksten) die kunnen worden gemaakt, opgeslagen, verwerkt, gedeeld en geraadpleegd met behulp van digitale apparaten. Het omvat digitale blauwdrukken die kunnen resulteren in fysieke creaties van digitaal gerepresenteerde objecten, zoals 3D-printoutputs.</w:t>
            </w:r>
          </w:p>
        </w:tc>
      </w:tr>
      <w:tr>
        <w:tc>
          <w:tcPr>
            <w:tcW w:type="dxa" w:w="4320"/>
          </w:tcPr>
          <w:p>
            <w:r>
              <w:rPr>
                <w:rFonts w:ascii="Arial" w:hAnsi="Arial"/>
                <w:b/>
                <w:i w:val="0"/>
                <w:color w:val="000000"/>
                <w:sz w:val="22"/>
              </w:rPr>
              <w:t>Digitale diensten</w:t>
            </w:r>
          </w:p>
        </w:tc>
        <w:tc>
          <w:tcPr>
            <w:tcW w:type="dxa" w:w="4320"/>
          </w:tcPr>
          <w:p>
            <w:r>
              <w:rPr>
                <w:rFonts w:ascii="Arial" w:hAnsi="Arial"/>
                <w:b w:val="0"/>
                <w:i w:val="0"/>
                <w:color w:val="000000"/>
                <w:sz w:val="22"/>
              </w:rPr>
              <w:t>Zie Digitale platforms en diensten.</w:t>
            </w:r>
          </w:p>
        </w:tc>
      </w:tr>
      <w:tr>
        <w:tc>
          <w:tcPr>
            <w:tcW w:type="dxa" w:w="4320"/>
          </w:tcPr>
          <w:p>
            <w:r>
              <w:rPr>
                <w:rFonts w:ascii="Arial" w:hAnsi="Arial"/>
                <w:b/>
                <w:i w:val="0"/>
                <w:color w:val="000000"/>
                <w:sz w:val="22"/>
              </w:rPr>
              <w:t>Digitale identiteit</w:t>
            </w:r>
          </w:p>
        </w:tc>
        <w:tc>
          <w:tcPr>
            <w:tcW w:type="dxa" w:w="4320"/>
          </w:tcPr>
          <w:p>
            <w:r>
              <w:rPr>
                <w:rFonts w:ascii="Arial" w:hAnsi="Arial"/>
                <w:b w:val="0"/>
                <w:i w:val="0"/>
                <w:color w:val="000000"/>
                <w:sz w:val="22"/>
              </w:rPr>
              <w:t>In DigComp 3.0 verwijst digitale identiteit naar de verzameling digitale informatie over een individu, die aspecten omvat zoals persoonlijke gegevens, online accountinformatie, gebruikersnaam- en wachtwoordgegevens, gedrags- en biometrische gegevens. Digitale identiteit heeft verschillende functies, zoals toegang tot diensten, privacybescherming en bescherming tegen identiteitsdiefstal. Digitale identiteit wordt geverifieerd via verschillende middelen, zoals gebruikersnaam en wachtwoord, biometrische verificatie, digitale certificaten en door de overheid uitgegeven ID's. Voorbeelden van digitale identiteiten zijn sociale mediaprofielen, e-mailadressen, gegevens van online bankrekeningen, medische dossiers en inloggegevens voor onderwijsportalen. De digitale identiteit is veelzijdig en evolueert en kan overlappen met de fysieke identiteit in haar verwijzingen naar fysieke realiteiten zoals huisadres of vingerafdrukgegevens bij biometrische identificatie.</w:t>
            </w:r>
          </w:p>
        </w:tc>
      </w:tr>
      <w:tr>
        <w:tc>
          <w:tcPr>
            <w:tcW w:type="dxa" w:w="4320"/>
          </w:tcPr>
          <w:p>
            <w:r>
              <w:rPr>
                <w:rFonts w:ascii="Arial" w:hAnsi="Arial"/>
                <w:b/>
                <w:i w:val="0"/>
                <w:color w:val="000000"/>
                <w:sz w:val="22"/>
              </w:rPr>
              <w:t>Digitale inclusie</w:t>
            </w:r>
          </w:p>
        </w:tc>
        <w:tc>
          <w:tcPr>
            <w:tcW w:type="dxa" w:w="4320"/>
          </w:tcPr>
          <w:p>
            <w:r>
              <w:rPr>
                <w:rFonts w:ascii="Arial" w:hAnsi="Arial"/>
                <w:b w:val="0"/>
                <w:i w:val="0"/>
                <w:color w:val="000000"/>
                <w:sz w:val="22"/>
              </w:rPr>
              <w:t>Proces dat erop gericht is ervoor te zorgen dat een individu – of een groep – toegang heeft tot en gebruik kan maken van informatie- en communicatietechnologie (ICT) om volledig deel te nemen aan het economische, sociale en culturele leven. Digitale inclusie hangt af van vier belangrijke factoren: toegang tot digitale technologie, zowel fysiek als financieel; motivatie, inclusief het begrijpen van de voordelen van digitale technologie; digitale competentie; en vertrouwen, onder meer met betrekking tot online veiligheid.</w:t>
            </w:r>
          </w:p>
        </w:tc>
      </w:tr>
      <w:tr>
        <w:tc>
          <w:tcPr>
            <w:tcW w:type="dxa" w:w="4320"/>
          </w:tcPr>
          <w:p>
            <w:r>
              <w:rPr>
                <w:rFonts w:ascii="Arial" w:hAnsi="Arial"/>
                <w:b/>
                <w:i w:val="0"/>
                <w:color w:val="000000"/>
                <w:sz w:val="22"/>
              </w:rPr>
              <w:t>Digitale interactie</w:t>
            </w:r>
          </w:p>
        </w:tc>
        <w:tc>
          <w:tcPr>
            <w:tcW w:type="dxa" w:w="4320"/>
          </w:tcPr>
          <w:p>
            <w:r>
              <w:rPr>
                <w:rFonts w:ascii="Arial" w:hAnsi="Arial"/>
                <w:b w:val="0"/>
                <w:i w:val="0"/>
                <w:color w:val="000000"/>
                <w:sz w:val="22"/>
              </w:rPr>
              <w:t>Elk type online activiteit die plaatsvindt tussen mensen, tussen een persoon en een platform, of tussen platforms. In DigComp 3.0 omvatten digitale interacties ook die tussen mensen en AI-systemen.</w:t>
            </w:r>
          </w:p>
        </w:tc>
      </w:tr>
      <w:tr>
        <w:tc>
          <w:tcPr>
            <w:tcW w:type="dxa" w:w="4320"/>
          </w:tcPr>
          <w:p>
            <w:r>
              <w:rPr>
                <w:rFonts w:ascii="Arial" w:hAnsi="Arial"/>
                <w:b/>
                <w:i w:val="0"/>
                <w:color w:val="000000"/>
                <w:sz w:val="22"/>
              </w:rPr>
              <w:t>Digitale omgeving</w:t>
            </w:r>
          </w:p>
        </w:tc>
        <w:tc>
          <w:tcPr>
            <w:tcW w:type="dxa" w:w="4320"/>
          </w:tcPr>
          <w:p>
            <w:r>
              <w:rPr>
                <w:rFonts w:ascii="Arial" w:hAnsi="Arial"/>
                <w:b w:val="0"/>
                <w:i w:val="0"/>
                <w:color w:val="000000"/>
                <w:sz w:val="22"/>
              </w:rPr>
              <w:t>Een context, of een 'plaats', die mogelijk wordt gemaakt door technologie en digitale apparaten, vaak overgebracht via het internet of andere digitale middelen, bijv. het mobiele telefoonnetwerk. Gegevens en bewijzen van de interactie van een individu met een digitale omgeving vormen hun digitale voetafdruk. In DigComp 3.0 wordt de term digitale omgeving gebruikt als achtergrond voor digitale acties zonder een specifieke technologie of tool te noemen.</w:t>
            </w:r>
          </w:p>
        </w:tc>
      </w:tr>
      <w:tr>
        <w:tc>
          <w:tcPr>
            <w:tcW w:type="dxa" w:w="4320"/>
          </w:tcPr>
          <w:p>
            <w:r>
              <w:rPr>
                <w:rFonts w:ascii="Arial" w:hAnsi="Arial"/>
                <w:b/>
                <w:i w:val="0"/>
                <w:color w:val="000000"/>
                <w:sz w:val="22"/>
              </w:rPr>
              <w:t>Digitale ondersteuningstool</w:t>
            </w:r>
          </w:p>
        </w:tc>
        <w:tc>
          <w:tcPr>
            <w:tcW w:type="dxa" w:w="4320"/>
          </w:tcPr>
          <w:p>
            <w:r>
              <w:rPr>
                <w:rFonts w:ascii="Arial" w:hAnsi="Arial"/>
                <w:b w:val="0"/>
                <w:i w:val="0"/>
                <w:color w:val="000000"/>
                <w:sz w:val="22"/>
              </w:rPr>
              <w:t>Digitale technologie die een individu assisteert of ondersteunt bij de uitvoering van een taak. In DigComp 3.0 verwijzen digitale ondersteuningstools naar functionaliteiten die zijn ingebed in software, platforms of diensten (zoals automatische vertaling van online content, functionaliteit voor het maken van notities bij vergaderingen, spraak-naar-tekst en tekst-naar-spraak functionaliteit); software of diensten die een ondersteunende functie vervullen (zoals machinevertaling van tekstdocumenten); en digitale assistenten (virtuele assistenten) (die vragen van gebruikers beantwoorden en eenvoudige taken uitvoeren). Veel van deze maken gebruik van functies van AI-systemen voor sommige of de meeste van hun functies.</w:t>
            </w:r>
          </w:p>
        </w:tc>
      </w:tr>
      <w:tr>
        <w:tc>
          <w:tcPr>
            <w:tcW w:type="dxa" w:w="4320"/>
          </w:tcPr>
          <w:p>
            <w:r>
              <w:rPr>
                <w:rFonts w:ascii="Arial" w:hAnsi="Arial"/>
                <w:b/>
                <w:i w:val="0"/>
                <w:color w:val="000000"/>
                <w:sz w:val="22"/>
              </w:rPr>
              <w:t>Digitale participatie</w:t>
            </w:r>
          </w:p>
        </w:tc>
        <w:tc>
          <w:tcPr>
            <w:tcW w:type="dxa" w:w="4320"/>
          </w:tcPr>
          <w:p>
            <w:r>
              <w:rPr>
                <w:rFonts w:ascii="Arial" w:hAnsi="Arial"/>
                <w:b w:val="0"/>
                <w:i w:val="0"/>
                <w:color w:val="000000"/>
                <w:sz w:val="22"/>
              </w:rPr>
              <w:t>De actieve betrokkenheid van individuen in de samenleving door het gebruik van digitale technologie.</w:t>
            </w:r>
          </w:p>
        </w:tc>
      </w:tr>
      <w:tr>
        <w:tc>
          <w:tcPr>
            <w:tcW w:type="dxa" w:w="4320"/>
          </w:tcPr>
          <w:p>
            <w:r>
              <w:rPr>
                <w:rFonts w:ascii="Arial" w:hAnsi="Arial"/>
                <w:b/>
                <w:i w:val="0"/>
                <w:color w:val="000000"/>
                <w:sz w:val="22"/>
              </w:rPr>
              <w:t>Digitale platforms en diensten</w:t>
            </w:r>
          </w:p>
        </w:tc>
        <w:tc>
          <w:tcPr>
            <w:tcW w:type="dxa" w:w="4320"/>
          </w:tcPr>
          <w:p>
            <w:r>
              <w:rPr>
                <w:rFonts w:ascii="Arial" w:hAnsi="Arial"/>
                <w:b w:val="0"/>
                <w:i w:val="0"/>
                <w:color w:val="000000"/>
                <w:sz w:val="22"/>
              </w:rPr>
              <w:t>Op software gebaseerde online infrastructuren die zijn ontworpen om interacties en transacties tussen gebruikers te vergemakkelijken. Digitale platforms en diensten kunnen verschillende functies vervullen, waaronder overheids- en openbare diensten, zoekmachines, bankieren, kopen en verkopen van producten en diensten, online samenwerkingsgemeenschappen en sociale media.</w:t>
            </w:r>
          </w:p>
        </w:tc>
      </w:tr>
      <w:tr>
        <w:tc>
          <w:tcPr>
            <w:tcW w:type="dxa" w:w="4320"/>
          </w:tcPr>
          <w:p>
            <w:r>
              <w:rPr>
                <w:rFonts w:ascii="Arial" w:hAnsi="Arial"/>
                <w:b/>
                <w:i w:val="0"/>
                <w:color w:val="000000"/>
                <w:sz w:val="22"/>
              </w:rPr>
              <w:t>Digitale reputatie</w:t>
            </w:r>
          </w:p>
        </w:tc>
        <w:tc>
          <w:tcPr>
            <w:tcW w:type="dxa" w:w="4320"/>
          </w:tcPr>
          <w:p>
            <w:r>
              <w:rPr>
                <w:rFonts w:ascii="Arial" w:hAnsi="Arial"/>
                <w:b w:val="0"/>
                <w:i w:val="0"/>
                <w:color w:val="000000"/>
                <w:sz w:val="22"/>
              </w:rPr>
              <w:t>De perceptie of mening die anderen vormen over een persoon, organisatie of merk op basis van hun online aanwezigheid en gedrag. In DigComp 3.0 richt digitale reputatie zich op de perceptie die anderen vormen over een persoon (in plaats van een organisatie of merk). De digitale reputatie wordt gevormd door de content die individuen delen, de interacties die ze aangaan en wat anderen over hen posten op digitale platforms en diensten. Een positieve digitale reputatie kan vertrouwen en geloofwaardigheid opbouwen, terwijl een negatieve een nadelige invloed kan hebben op persoonlijke relaties, baankansen of andere mogelijkheden.</w:t>
            </w:r>
          </w:p>
        </w:tc>
      </w:tr>
      <w:tr>
        <w:tc>
          <w:tcPr>
            <w:tcW w:type="dxa" w:w="4320"/>
          </w:tcPr>
          <w:p>
            <w:r>
              <w:rPr>
                <w:rFonts w:ascii="Arial" w:hAnsi="Arial"/>
                <w:b/>
                <w:i w:val="0"/>
                <w:color w:val="000000"/>
                <w:sz w:val="22"/>
              </w:rPr>
              <w:t>Digitale stress</w:t>
            </w:r>
          </w:p>
        </w:tc>
        <w:tc>
          <w:tcPr>
            <w:tcW w:type="dxa" w:w="4320"/>
          </w:tcPr>
          <w:p>
            <w:r>
              <w:rPr>
                <w:rFonts w:ascii="Arial" w:hAnsi="Arial"/>
                <w:b w:val="0"/>
                <w:i w:val="0"/>
                <w:color w:val="000000"/>
                <w:sz w:val="22"/>
              </w:rPr>
              <w:t>De psychologische spanning die het gevolg is van een overmatige blootstelling aan digitale omgevingen en systemen, vaak gekenmerkt door cognitieve overbelasting, burn-out, verminderde levenstevredenheid en emotionele desbetrokkenheid.</w:t>
            </w:r>
          </w:p>
        </w:tc>
      </w:tr>
      <w:tr>
        <w:tc>
          <w:tcPr>
            <w:tcW w:type="dxa" w:w="4320"/>
          </w:tcPr>
          <w:p>
            <w:r>
              <w:rPr>
                <w:rFonts w:ascii="Arial" w:hAnsi="Arial"/>
                <w:b/>
                <w:i w:val="0"/>
                <w:color w:val="000000"/>
                <w:sz w:val="22"/>
              </w:rPr>
              <w:t>Digitale technologie</w:t>
            </w:r>
          </w:p>
        </w:tc>
        <w:tc>
          <w:tcPr>
            <w:tcW w:type="dxa" w:w="4320"/>
          </w:tcPr>
          <w:p>
            <w:r>
              <w:rPr>
                <w:rFonts w:ascii="Arial" w:hAnsi="Arial"/>
                <w:b w:val="0"/>
                <w:i w:val="0"/>
                <w:color w:val="000000"/>
                <w:sz w:val="22"/>
              </w:rPr>
              <w:t>Apparaten zoals pc's en tablets, tools zoals robots, camera's, rekenmachines en digitaal speelgoed, systemen zoals software en apps, augmented en virtual reality, en minder tastbare vormen van technologie zoals het internet.</w:t>
            </w:r>
          </w:p>
        </w:tc>
      </w:tr>
      <w:tr>
        <w:tc>
          <w:tcPr>
            <w:tcW w:type="dxa" w:w="4320"/>
          </w:tcPr>
          <w:p>
            <w:r>
              <w:rPr>
                <w:rFonts w:ascii="Arial" w:hAnsi="Arial"/>
                <w:b/>
                <w:i w:val="0"/>
                <w:color w:val="000000"/>
                <w:sz w:val="22"/>
              </w:rPr>
              <w:t>Digitale tool</w:t>
            </w:r>
          </w:p>
        </w:tc>
        <w:tc>
          <w:tcPr>
            <w:tcW w:type="dxa" w:w="4320"/>
          </w:tcPr>
          <w:p>
            <w:r>
              <w:rPr>
                <w:rFonts w:ascii="Arial" w:hAnsi="Arial"/>
                <w:b w:val="0"/>
                <w:i w:val="0"/>
                <w:color w:val="000000"/>
                <w:sz w:val="22"/>
              </w:rPr>
              <w:t>Een digitale technologie die wordt gebruikt voor een bepaald doel of voor het uitvoeren van een bepaalde functie.</w:t>
            </w:r>
          </w:p>
        </w:tc>
      </w:tr>
      <w:tr>
        <w:tc>
          <w:tcPr>
            <w:tcW w:type="dxa" w:w="4320"/>
          </w:tcPr>
          <w:p>
            <w:r>
              <w:rPr>
                <w:rFonts w:ascii="Arial" w:hAnsi="Arial"/>
                <w:b/>
                <w:i w:val="0"/>
                <w:color w:val="000000"/>
                <w:sz w:val="22"/>
              </w:rPr>
              <w:t>Digitale uitsluiting</w:t>
            </w:r>
          </w:p>
        </w:tc>
        <w:tc>
          <w:tcPr>
            <w:tcW w:type="dxa" w:w="4320"/>
          </w:tcPr>
          <w:p>
            <w:r>
              <w:rPr>
                <w:rFonts w:ascii="Arial" w:hAnsi="Arial"/>
                <w:b w:val="0"/>
                <w:i w:val="0"/>
                <w:color w:val="000000"/>
                <w:sz w:val="22"/>
              </w:rPr>
              <w:t>Marginalisering van een individu – of van een groep – die verstoken blijft van volledige toegang tot en capaciteit om informatie- en communicatietechnologie (ICT) te gebruiken, wat hun deelname aan het economische, sociale en politieke leven van de samenleving belemmert. Vier belangrijke factoren leiden tot digitale uitsluiting: beperkte toegang tot digitale technologie, zowel fysiek als financieel; gebrek aan motivatie, inclusief het begrijpen van de voordelen van digitale technologie; beperkte digitale competentie; en gebrek aan vertrouwen, onder meer met betrekking tot online veiligheid.</w:t>
            </w:r>
          </w:p>
        </w:tc>
      </w:tr>
      <w:tr>
        <w:tc>
          <w:tcPr>
            <w:tcW w:type="dxa" w:w="4320"/>
          </w:tcPr>
          <w:p>
            <w:r>
              <w:rPr>
                <w:rFonts w:ascii="Arial" w:hAnsi="Arial"/>
                <w:b/>
                <w:i w:val="0"/>
                <w:color w:val="000000"/>
                <w:sz w:val="22"/>
              </w:rPr>
              <w:t>Digitale voetafdruk</w:t>
            </w:r>
          </w:p>
        </w:tc>
        <w:tc>
          <w:tcPr>
            <w:tcW w:type="dxa" w:w="4320"/>
          </w:tcPr>
          <w:p>
            <w:r>
              <w:rPr>
                <w:rFonts w:ascii="Arial" w:hAnsi="Arial"/>
                <w:b w:val="0"/>
                <w:i w:val="0"/>
                <w:color w:val="000000"/>
                <w:sz w:val="22"/>
              </w:rPr>
              <w:t>De geschiedenis van het gebruik van digitale apparaten door een persoon, waaronder onder andere gedownloade webpagina's, websites waarbij is ingelogd, verzonden tekst-, chat- en sociale mediaberichten, aangeklikte links en gelikete sociale mediapagina's. Deze informatie wordt veel gebruikt om advertenties op consumenten te richten. Ook wel digitale vingerafdruk genoemd.</w:t>
            </w:r>
          </w:p>
        </w:tc>
      </w:tr>
      <w:tr>
        <w:tc>
          <w:tcPr>
            <w:tcW w:type="dxa" w:w="4320"/>
          </w:tcPr>
          <w:p>
            <w:r>
              <w:rPr>
                <w:rFonts w:ascii="Arial" w:hAnsi="Arial"/>
                <w:b/>
                <w:i w:val="0"/>
                <w:color w:val="000000"/>
                <w:sz w:val="22"/>
              </w:rPr>
              <w:t>Digitale wetgeving</w:t>
            </w:r>
          </w:p>
        </w:tc>
        <w:tc>
          <w:tcPr>
            <w:tcW w:type="dxa" w:w="4320"/>
          </w:tcPr>
          <w:p>
            <w:r>
              <w:rPr>
                <w:rFonts w:ascii="Arial" w:hAnsi="Arial"/>
                <w:b w:val="0"/>
                <w:i w:val="0"/>
                <w:color w:val="000000"/>
                <w:sz w:val="22"/>
              </w:rPr>
              <w:t>Sinds 2018 zijn er verschillende stukken EU-wetgeving over digitale zaken gepubliceerd. Sectie 1.2 van het DigComp 3.0-raamwerk bevat een beschrijving van enkele van de belangrijkste digitale wet- en regelgeving die relevant zou kunnen zijn om te overwegen in de context van DigComp 3.0.</w:t>
            </w:r>
          </w:p>
        </w:tc>
      </w:tr>
      <w:tr>
        <w:tc>
          <w:tcPr>
            <w:tcW w:type="dxa" w:w="4320"/>
          </w:tcPr>
          <w:p>
            <w:r>
              <w:rPr>
                <w:rFonts w:ascii="Arial" w:hAnsi="Arial"/>
                <w:b/>
                <w:i w:val="0"/>
                <w:color w:val="000000"/>
                <w:sz w:val="22"/>
              </w:rPr>
              <w:t>Digitale zoekmachine</w:t>
            </w:r>
          </w:p>
        </w:tc>
        <w:tc>
          <w:tcPr>
            <w:tcW w:type="dxa" w:w="4320"/>
          </w:tcPr>
          <w:p>
            <w:r>
              <w:rPr>
                <w:rFonts w:ascii="Arial" w:hAnsi="Arial"/>
                <w:b w:val="0"/>
                <w:i w:val="0"/>
                <w:color w:val="000000"/>
                <w:sz w:val="22"/>
              </w:rPr>
              <w:t>Een reeks digitale technologie die zijn ontworpen voor of functionaliteiten bevatten die het zoeken en ophalen van informatie vergemakkelijken. Digitale zoekmachines kunnen bestaan uit, maar zijn niet beperkt tot, zoekmachines (zowel traditionele als AI-gestuurde), doorzoekbare databases (zoals bibliotheekcatalogi of academische databases), zoekfuncties binnen platforms en diensten (zoals voor het zoeken naar en filteren van vluchten, treinkaartjes, accommodatie of andere producten en diensten), digitale geografische informatiesysteemplatforms (die geolocatie en routeplanning vergemakkelijken) en grote taalmodellen (LLM's).</w:t>
            </w:r>
          </w:p>
        </w:tc>
      </w:tr>
      <w:tr>
        <w:tc>
          <w:tcPr>
            <w:tcW w:type="dxa" w:w="4320"/>
          </w:tcPr>
          <w:p>
            <w:r>
              <w:rPr>
                <w:rFonts w:ascii="Arial" w:hAnsi="Arial"/>
                <w:b/>
                <w:i w:val="0"/>
                <w:color w:val="000000"/>
                <w:sz w:val="22"/>
              </w:rPr>
              <w:t>E-commerce</w:t>
            </w:r>
          </w:p>
        </w:tc>
        <w:tc>
          <w:tcPr>
            <w:tcW w:type="dxa" w:w="4320"/>
          </w:tcPr>
          <w:p>
            <w:r>
              <w:rPr>
                <w:rFonts w:ascii="Arial" w:hAnsi="Arial"/>
                <w:b w:val="0"/>
                <w:i w:val="0"/>
                <w:color w:val="000000"/>
                <w:sz w:val="22"/>
              </w:rPr>
              <w:t>Het kopen en verkopen van goederen en diensten via het internet. In e-commerce worden verschillende bedrijfsmodellen gebruikt (bijv. business-to-consumer, business-to-business, consumer-to-consumer).</w:t>
            </w:r>
          </w:p>
        </w:tc>
      </w:tr>
      <w:tr>
        <w:tc>
          <w:tcPr>
            <w:tcW w:type="dxa" w:w="4320"/>
          </w:tcPr>
          <w:p>
            <w:r>
              <w:rPr>
                <w:rFonts w:ascii="Arial" w:hAnsi="Arial"/>
                <w:b/>
                <w:i w:val="0"/>
                <w:color w:val="000000"/>
                <w:sz w:val="22"/>
              </w:rPr>
              <w:t>Emoji</w:t>
            </w:r>
          </w:p>
        </w:tc>
        <w:tc>
          <w:tcPr>
            <w:tcW w:type="dxa" w:w="4320"/>
          </w:tcPr>
          <w:p>
            <w:r>
              <w:rPr>
                <w:rFonts w:ascii="Arial" w:hAnsi="Arial"/>
                <w:b w:val="0"/>
                <w:i w:val="0"/>
                <w:color w:val="000000"/>
                <w:sz w:val="22"/>
              </w:rPr>
              <w:t>Een grafisch symbool of afbeelding die vaak tekst vergezelt, vooral in digitale berichten en communicatie. Emoji's dienen om een emotionele toestand aan te geven of de toon of intentie te verduidelijken. Ze bestaan in verschillende genres, waaronder gezichtsuitdrukkingen, activiteiten, eten en drinken, feesten, vlaggen, objecten, symbolen, plaatsen, weer, dieren en natuur. Specifieke emoji's kunnen een bijzondere betekenis krijgen onder subgroepen van individuen, en er is culturele variatie in het gebruik en de interpretatie van emoji's. Ook (en voorheen) emoticon genoemd.</w:t>
            </w:r>
          </w:p>
        </w:tc>
      </w:tr>
      <w:tr>
        <w:tc>
          <w:tcPr>
            <w:tcW w:type="dxa" w:w="4320"/>
          </w:tcPr>
          <w:p>
            <w:r>
              <w:rPr>
                <w:rFonts w:ascii="Arial" w:hAnsi="Arial"/>
                <w:b/>
                <w:i w:val="0"/>
                <w:color w:val="000000"/>
                <w:sz w:val="22"/>
              </w:rPr>
              <w:t>Ethisch (gebruik van digitale technologie)</w:t>
            </w:r>
          </w:p>
        </w:tc>
        <w:tc>
          <w:tcPr>
            <w:tcW w:type="dxa" w:w="4320"/>
          </w:tcPr>
          <w:p>
            <w:r>
              <w:rPr>
                <w:rFonts w:ascii="Arial" w:hAnsi="Arial"/>
                <w:b w:val="0"/>
                <w:i w:val="0"/>
                <w:color w:val="000000"/>
                <w:sz w:val="22"/>
              </w:rPr>
              <w:t>Gebruik van digitale technologie dat in overeenstemming is met waarden als respect voor menselijke waardigheid, vrijheid, democratie, gelijkheid, de rechtsstaat en respect voor mensenrechten, inclusief de rechten van personen die tot minderheden behoren. Ethisch gebruik houdt ook rekening met de natuurlijke omgeving en met andere levende wezens die deel uitmaken van het menselijke ecosysteem, evenals een duurzame aanpak die het welvaren van toekomstige generaties mogelijk maakt.</w:t>
            </w:r>
          </w:p>
        </w:tc>
      </w:tr>
      <w:tr>
        <w:tc>
          <w:tcPr>
            <w:tcW w:type="dxa" w:w="4320"/>
          </w:tcPr>
          <w:p>
            <w:r>
              <w:rPr>
                <w:rFonts w:ascii="Arial" w:hAnsi="Arial"/>
                <w:b/>
                <w:i w:val="0"/>
                <w:color w:val="000000"/>
                <w:sz w:val="22"/>
              </w:rPr>
              <w:t>Europees kwalificatiekader (EQF)</w:t>
            </w:r>
          </w:p>
        </w:tc>
        <w:tc>
          <w:tcPr>
            <w:tcW w:type="dxa" w:w="4320"/>
          </w:tcPr>
          <w:p>
            <w:r>
              <w:rPr>
                <w:rFonts w:ascii="Arial" w:hAnsi="Arial"/>
                <w:b w:val="0"/>
                <w:i w:val="0"/>
                <w:color w:val="000000"/>
                <w:sz w:val="22"/>
              </w:rPr>
              <w:t>Een kader met acht niveaus op basis van leerresultaten voor alle typen kwalificaties. Het dient als een vertaalinstrument tussen verschillende nationale kwalificatiekaders. Het draagt bij aan meer transparantie, vergelijkbaarheid en draagbaarheid van de kwalificaties van mensen en maakt het mogelijk om kwalificaties uit verschillende landen en instellingen met elkaar te vergelijken. Het werd vastgesteld in 2008 en in 2017 herzien.</w:t>
            </w:r>
          </w:p>
        </w:tc>
      </w:tr>
      <w:tr>
        <w:tc>
          <w:tcPr>
            <w:tcW w:type="dxa" w:w="4320"/>
          </w:tcPr>
          <w:p>
            <w:r>
              <w:rPr>
                <w:rFonts w:ascii="Arial" w:hAnsi="Arial"/>
                <w:b/>
                <w:i w:val="0"/>
                <w:color w:val="000000"/>
                <w:sz w:val="22"/>
              </w:rPr>
              <w:t>Externe opslag</w:t>
            </w:r>
          </w:p>
        </w:tc>
        <w:tc>
          <w:tcPr>
            <w:tcW w:type="dxa" w:w="4320"/>
          </w:tcPr>
          <w:p>
            <w:r>
              <w:rPr>
                <w:rFonts w:ascii="Arial" w:hAnsi="Arial"/>
                <w:b w:val="0"/>
                <w:i w:val="0"/>
                <w:color w:val="000000"/>
                <w:sz w:val="22"/>
              </w:rPr>
              <w:t>Gegevensopslagruimte buiten de eigen interne hardware van een digitaal apparaat. Externe opslag kan verwijzen naar verwijderbare media, draagbare opslagapparaten, netwerkopslag (NAS) of cloudopslag.</w:t>
            </w:r>
          </w:p>
        </w:tc>
      </w:tr>
      <w:tr>
        <w:tc>
          <w:tcPr>
            <w:tcW w:type="dxa" w:w="4320"/>
          </w:tcPr>
          <w:p>
            <w:r>
              <w:rPr>
                <w:rFonts w:ascii="Arial" w:hAnsi="Arial"/>
                <w:b/>
                <w:i w:val="0"/>
                <w:color w:val="000000"/>
                <w:sz w:val="22"/>
              </w:rPr>
              <w:t>Filter bubble</w:t>
            </w:r>
          </w:p>
        </w:tc>
        <w:tc>
          <w:tcPr>
            <w:tcW w:type="dxa" w:w="4320"/>
          </w:tcPr>
          <w:p>
            <w:r>
              <w:rPr>
                <w:rFonts w:ascii="Arial" w:hAnsi="Arial"/>
                <w:b w:val="0"/>
                <w:i w:val="0"/>
                <w:color w:val="000000"/>
                <w:sz w:val="22"/>
              </w:rPr>
              <w:t>Een echokamer (een begrensde, afgesloten mediaruimte die de berichten die erin worden geleverd zowel kan versterken als ze tegen tegenspraak kan isoleren) wordt hoofdzakelijk geproduceerd door rankingalgoritmen op digitale platforms zoals zoekmachines en sociale media, die informatie personaliseert zonder enige actieve keuze van een individu.</w:t>
            </w:r>
          </w:p>
        </w:tc>
      </w:tr>
      <w:tr>
        <w:tc>
          <w:tcPr>
            <w:tcW w:type="dxa" w:w="4320"/>
          </w:tcPr>
          <w:p>
            <w:r>
              <w:rPr>
                <w:rFonts w:ascii="Arial" w:hAnsi="Arial"/>
                <w:b/>
                <w:i w:val="0"/>
                <w:color w:val="000000"/>
                <w:sz w:val="22"/>
              </w:rPr>
              <w:t>Gamificatie</w:t>
            </w:r>
          </w:p>
        </w:tc>
        <w:tc>
          <w:tcPr>
            <w:tcW w:type="dxa" w:w="4320"/>
          </w:tcPr>
          <w:p>
            <w:r>
              <w:rPr>
                <w:rFonts w:ascii="Arial" w:hAnsi="Arial"/>
                <w:b w:val="0"/>
                <w:i w:val="0"/>
                <w:color w:val="000000"/>
                <w:sz w:val="22"/>
              </w:rPr>
              <w:t>Het toepassen van spelelementen in een niet-spelomgeving. Het doel is om de betrokkenheid, motivatie, competitie en deelname van gebruikers te vergroten door gebruik te maken van spelmechanismen zoals punten, badges, ranglijsten en beloningen.</w:t>
            </w:r>
          </w:p>
        </w:tc>
      </w:tr>
      <w:tr>
        <w:tc>
          <w:tcPr>
            <w:tcW w:type="dxa" w:w="4320"/>
          </w:tcPr>
          <w:p>
            <w:r>
              <w:rPr>
                <w:rFonts w:ascii="Arial" w:hAnsi="Arial"/>
                <w:b/>
                <w:i w:val="0"/>
                <w:color w:val="000000"/>
                <w:sz w:val="22"/>
              </w:rPr>
              <w:t>Gebruikerservaring (UX) en klantervaring (CX)</w:t>
            </w:r>
          </w:p>
        </w:tc>
        <w:tc>
          <w:tcPr>
            <w:tcW w:type="dxa" w:w="4320"/>
          </w:tcPr>
          <w:p>
            <w:r>
              <w:rPr>
                <w:rFonts w:ascii="Arial" w:hAnsi="Arial"/>
                <w:b w:val="0"/>
                <w:i w:val="0"/>
                <w:color w:val="000000"/>
                <w:sz w:val="22"/>
              </w:rPr>
              <w:t>UX is hoe een gebruiker met een product, systeem of dienst omgaat en deze ervaart. Het omvat de perceptie van een persoon over nut, gebruiksgemak en efficiëntie. CX verwijst naar de cognitieve, affectieve, sensorische en gedragsmatige reacties van een klant tijdens alle fasen van het consumptieproces, inclusief vóór de aankoop, tijdens de consumptie en na de aankoop. In DigComp 3.0 hebben CX en UX specifiek betrekking op digitale contexten.</w:t>
            </w:r>
          </w:p>
        </w:tc>
      </w:tr>
      <w:tr>
        <w:tc>
          <w:tcPr>
            <w:tcW w:type="dxa" w:w="4320"/>
          </w:tcPr>
          <w:p>
            <w:r>
              <w:rPr>
                <w:rFonts w:ascii="Arial" w:hAnsi="Arial"/>
                <w:b/>
                <w:i w:val="0"/>
                <w:color w:val="000000"/>
                <w:sz w:val="22"/>
              </w:rPr>
              <w:t>Gegevensbescherming</w:t>
            </w:r>
          </w:p>
        </w:tc>
        <w:tc>
          <w:tcPr>
            <w:tcW w:type="dxa" w:w="4320"/>
          </w:tcPr>
          <w:p>
            <w:r>
              <w:rPr>
                <w:rFonts w:ascii="Arial" w:hAnsi="Arial"/>
                <w:b w:val="0"/>
                <w:i w:val="0"/>
                <w:color w:val="000000"/>
                <w:sz w:val="22"/>
              </w:rPr>
              <w:t>Verwijst naar zowel de beveiliging als de privacy van de persoonlijke informatie van een individu (zoals naam, geboortedatum, huisadres, e-mailadres of telefoonnummer) en persoonlijke eigendommen (zoals e-mails, bestanden en accounts die eigendom zijn van of beheerd worden door het individu). Gegevensbescherming kan ook verwijzen naar praktijken voor gegevensbeheer en -opslag die gegevens beschermen tegen verlies, diefstal of corruptie.</w:t>
            </w:r>
          </w:p>
        </w:tc>
      </w:tr>
      <w:tr>
        <w:tc>
          <w:tcPr>
            <w:tcW w:type="dxa" w:w="4320"/>
          </w:tcPr>
          <w:p>
            <w:r>
              <w:rPr>
                <w:rFonts w:ascii="Arial" w:hAnsi="Arial"/>
                <w:b/>
                <w:i w:val="0"/>
                <w:color w:val="000000"/>
                <w:sz w:val="22"/>
              </w:rPr>
              <w:t>Gegevensherstel</w:t>
            </w:r>
          </w:p>
        </w:tc>
        <w:tc>
          <w:tcPr>
            <w:tcW w:type="dxa" w:w="4320"/>
          </w:tcPr>
          <w:p>
            <w:r>
              <w:rPr>
                <w:rFonts w:ascii="Arial" w:hAnsi="Arial"/>
                <w:b w:val="0"/>
                <w:i w:val="0"/>
                <w:color w:val="000000"/>
                <w:sz w:val="22"/>
              </w:rPr>
              <w:t>Een proces voor het ophalen van verwijderde, ontoegankelijke, verloren, corrupte, beschadigde of overschreven gegevens van secundaire opslag, verwijderbare media of bestanden, wanneer de daarop opgeslagen gegevens niet op de gebruikelijke manier toegankelijk zijn. Ook wel dataherstel genoemd.</w:t>
            </w:r>
          </w:p>
        </w:tc>
      </w:tr>
      <w:tr>
        <w:tc>
          <w:tcPr>
            <w:tcW w:type="dxa" w:w="4320"/>
          </w:tcPr>
          <w:p>
            <w:r>
              <w:rPr>
                <w:rFonts w:ascii="Arial" w:hAnsi="Arial"/>
                <w:b/>
                <w:i w:val="0"/>
                <w:color w:val="000000"/>
                <w:sz w:val="22"/>
              </w:rPr>
              <w:t>Gegevensverwerking</w:t>
            </w:r>
          </w:p>
        </w:tc>
        <w:tc>
          <w:tcPr>
            <w:tcW w:type="dxa" w:w="4320"/>
          </w:tcPr>
          <w:p>
            <w:r>
              <w:rPr>
                <w:rFonts w:ascii="Arial" w:hAnsi="Arial"/>
                <w:b w:val="0"/>
                <w:i w:val="0"/>
                <w:color w:val="000000"/>
                <w:sz w:val="22"/>
              </w:rPr>
              <w:t>Het verzamelen en manipuleren van digitale gegevens om betekenisvolle informatie te produceren.</w:t>
            </w:r>
          </w:p>
        </w:tc>
      </w:tr>
      <w:tr>
        <w:tc>
          <w:tcPr>
            <w:tcW w:type="dxa" w:w="4320"/>
          </w:tcPr>
          <w:p>
            <w:r>
              <w:rPr>
                <w:rFonts w:ascii="Arial" w:hAnsi="Arial"/>
                <w:b/>
                <w:i w:val="0"/>
                <w:color w:val="000000"/>
                <w:sz w:val="22"/>
              </w:rPr>
              <w:t>Generatieve AI</w:t>
            </w:r>
          </w:p>
        </w:tc>
        <w:tc>
          <w:tcPr>
            <w:tcW w:type="dxa" w:w="4320"/>
          </w:tcPr>
          <w:p>
            <w:r>
              <w:rPr>
                <w:rFonts w:ascii="Arial" w:hAnsi="Arial"/>
                <w:b w:val="0"/>
                <w:i w:val="0"/>
                <w:color w:val="000000"/>
                <w:sz w:val="22"/>
              </w:rPr>
              <w:t>Een subset van AI die gebruikmaakt van gespecialiseerde machine learning-modellen die zijn ontworpen om een breed en algemeen scala aan outputs te produceren, in staat tot verschillende taken en toepassingen, zoals het genereren van tekst, beeld of audio.</w:t>
            </w:r>
          </w:p>
        </w:tc>
      </w:tr>
      <w:tr>
        <w:tc>
          <w:tcPr>
            <w:tcW w:type="dxa" w:w="4320"/>
          </w:tcPr>
          <w:p>
            <w:r>
              <w:rPr>
                <w:rFonts w:ascii="Arial" w:hAnsi="Arial"/>
                <w:b/>
                <w:i w:val="0"/>
                <w:color w:val="000000"/>
                <w:sz w:val="22"/>
              </w:rPr>
              <w:t>Gespecialiseerd (doel, taak)</w:t>
            </w:r>
          </w:p>
        </w:tc>
        <w:tc>
          <w:tcPr>
            <w:tcW w:type="dxa" w:w="4320"/>
          </w:tcPr>
          <w:p>
            <w:r>
              <w:rPr>
                <w:rFonts w:ascii="Arial" w:hAnsi="Arial"/>
                <w:b w:val="0"/>
                <w:i w:val="0"/>
                <w:color w:val="000000"/>
                <w:sz w:val="22"/>
              </w:rPr>
              <w:t>In DigComp 3.0 wordt, met name met betrekking tot bekwaamheidsniveaus, competentiebeschrijvingen en leerresultaten, verwezen naar gespecialiseerde doelen en taken. Hier betekent gespecialiseerd: gerelateerd aan een bepaalde discipline, vakgebied of terrein.</w:t>
            </w:r>
          </w:p>
        </w:tc>
      </w:tr>
      <w:tr>
        <w:tc>
          <w:tcPr>
            <w:tcW w:type="dxa" w:w="4320"/>
          </w:tcPr>
          <w:p>
            <w:r>
              <w:rPr>
                <w:rFonts w:ascii="Arial" w:hAnsi="Arial"/>
                <w:b/>
                <w:i w:val="0"/>
                <w:color w:val="000000"/>
                <w:sz w:val="22"/>
              </w:rPr>
              <w:t>Global Digital Compact (GDC) van de Verenigde Naties (VN)</w:t>
            </w:r>
          </w:p>
        </w:tc>
        <w:tc>
          <w:tcPr>
            <w:tcW w:type="dxa" w:w="4320"/>
          </w:tcPr>
          <w:p>
            <w:r>
              <w:rPr>
                <w:rFonts w:ascii="Arial" w:hAnsi="Arial"/>
                <w:b w:val="0"/>
                <w:i w:val="0"/>
                <w:color w:val="000000"/>
                <w:sz w:val="22"/>
              </w:rPr>
              <w:t>Het eerste alomvattende raamwerk voor mondiaal digitaal bestuur waarover de VN-lidstaten in 2024 overeenstemming hebben bereikt en dat tot doel heeft een inclusieve, open, veilige en beveiligde digitale ruimte te bevorderen waarin mensenrechten worden gerespecteerd, beschermd en bevorderd. Het VN-bureau voor digitale en opkomende technologie, opgericht in januari 2025, ondersteunt de follow-up en implementatie van de GDC.</w:t>
            </w:r>
          </w:p>
        </w:tc>
      </w:tr>
      <w:tr>
        <w:tc>
          <w:tcPr>
            <w:tcW w:type="dxa" w:w="4320"/>
          </w:tcPr>
          <w:p>
            <w:r>
              <w:rPr>
                <w:rFonts w:ascii="Arial" w:hAnsi="Arial"/>
                <w:b/>
                <w:i w:val="0"/>
                <w:color w:val="000000"/>
                <w:sz w:val="22"/>
              </w:rPr>
              <w:t>Hulpmiddelen</w:t>
            </w:r>
          </w:p>
        </w:tc>
        <w:tc>
          <w:tcPr>
            <w:tcW w:type="dxa" w:w="4320"/>
          </w:tcPr>
          <w:p>
            <w:r>
              <w:rPr>
                <w:rFonts w:ascii="Arial" w:hAnsi="Arial"/>
                <w:b w:val="0"/>
                <w:i w:val="0"/>
                <w:color w:val="000000"/>
                <w:sz w:val="22"/>
              </w:rPr>
              <w:t>Een overkoepelende term voor tools en de bijbehorende systemen en diensten. In DigComp verwijzen tools naar technologieën die in digitale omgevingen worden gebruikt. Voorbeelden zijn onder andere schermlezers, aangepaste toetsenborden, alternatieve invoerapparaten, leesassistenten, verrijkte en alternatieve communicatiemiddelen en elektronische vergroters.</w:t>
            </w:r>
          </w:p>
        </w:tc>
      </w:tr>
      <w:tr>
        <w:tc>
          <w:tcPr>
            <w:tcW w:type="dxa" w:w="4320"/>
          </w:tcPr>
          <w:p>
            <w:r>
              <w:rPr>
                <w:rFonts w:ascii="Arial" w:hAnsi="Arial"/>
                <w:b/>
                <w:i w:val="0"/>
                <w:color w:val="000000"/>
                <w:sz w:val="22"/>
              </w:rPr>
              <w:t>Identiteitsdiefstal</w:t>
            </w:r>
          </w:p>
        </w:tc>
        <w:tc>
          <w:tcPr>
            <w:tcW w:type="dxa" w:w="4320"/>
          </w:tcPr>
          <w:p>
            <w:r>
              <w:rPr>
                <w:rFonts w:ascii="Arial" w:hAnsi="Arial"/>
                <w:b w:val="0"/>
                <w:i w:val="0"/>
                <w:color w:val="000000"/>
                <w:sz w:val="22"/>
              </w:rPr>
              <w:t>Het stelen van iemands persoonlijke identificatiegegevens, zoals naam, bank- of creditcardgegevens, elektronische handtekeningen of wachtwoorden, zonder toestemming om fraude of andere misdrijven te plegen. De persoon wiens identiteit is gestolen, kan nadelige gevolgen ondervinden, vooral als hij ten onrechte verantwoordelijk wordt gehouden voor de daden van de dader.</w:t>
            </w:r>
          </w:p>
        </w:tc>
      </w:tr>
      <w:tr>
        <w:tc>
          <w:tcPr>
            <w:tcW w:type="dxa" w:w="4320"/>
          </w:tcPr>
          <w:p>
            <w:r>
              <w:rPr>
                <w:rFonts w:ascii="Arial" w:hAnsi="Arial"/>
                <w:b/>
                <w:i w:val="0"/>
                <w:color w:val="000000"/>
                <w:sz w:val="22"/>
              </w:rPr>
              <w:t>Influencer op sociale media</w:t>
            </w:r>
          </w:p>
        </w:tc>
        <w:tc>
          <w:tcPr>
            <w:tcW w:type="dxa" w:w="4320"/>
          </w:tcPr>
          <w:p>
            <w:r>
              <w:rPr>
                <w:rFonts w:ascii="Arial" w:hAnsi="Arial"/>
                <w:b w:val="0"/>
                <w:i w:val="0"/>
                <w:color w:val="000000"/>
                <w:sz w:val="22"/>
              </w:rPr>
              <w:t>Online content creators die content plaatsen op sociale media of videoplatforms waarmee ze impact hebben op de samenleving, de publieke opinie en de persoonlijke opvattingen van hun publiek, vaak aangetoond door hun op authenticiteit gebaseerde relatie met hun publiek. Influencers hebben vaak een commerciële intentie en werken samen met commerciële actoren via verschillende bedrijfsmodellen voor monetisatie-doeleinden.</w:t>
            </w:r>
          </w:p>
        </w:tc>
      </w:tr>
      <w:tr>
        <w:tc>
          <w:tcPr>
            <w:tcW w:type="dxa" w:w="4320"/>
          </w:tcPr>
          <w:p>
            <w:r>
              <w:rPr>
                <w:rFonts w:ascii="Arial" w:hAnsi="Arial"/>
                <w:b/>
                <w:i w:val="0"/>
                <w:color w:val="000000"/>
                <w:sz w:val="22"/>
              </w:rPr>
              <w:t>Intellectueel eigendom</w:t>
            </w:r>
          </w:p>
        </w:tc>
        <w:tc>
          <w:tcPr>
            <w:tcW w:type="dxa" w:w="4320"/>
          </w:tcPr>
          <w:p>
            <w:r>
              <w:rPr>
                <w:rFonts w:ascii="Arial" w:hAnsi="Arial"/>
                <w:b w:val="0"/>
                <w:i w:val="0"/>
                <w:color w:val="000000"/>
                <w:sz w:val="22"/>
              </w:rPr>
              <w:t>Iemands idee, uitvinding, creatie, enz., die wettelijk beschermd kan worden tegen kopiëren door iemand anders.</w:t>
            </w:r>
          </w:p>
        </w:tc>
      </w:tr>
      <w:tr>
        <w:tc>
          <w:tcPr>
            <w:tcW w:type="dxa" w:w="4320"/>
          </w:tcPr>
          <w:p>
            <w:r>
              <w:rPr>
                <w:rFonts w:ascii="Arial" w:hAnsi="Arial"/>
                <w:b/>
                <w:i w:val="0"/>
                <w:color w:val="000000"/>
                <w:sz w:val="22"/>
              </w:rPr>
              <w:t>JSON</w:t>
            </w:r>
          </w:p>
        </w:tc>
        <w:tc>
          <w:tcPr>
            <w:tcW w:type="dxa" w:w="4320"/>
          </w:tcPr>
          <w:p>
            <w:r>
              <w:rPr>
                <w:rFonts w:ascii="Arial" w:hAnsi="Arial"/>
                <w:b w:val="0"/>
                <w:i w:val="0"/>
                <w:color w:val="000000"/>
                <w:sz w:val="22"/>
              </w:rPr>
              <w:t>JavaScript Object Notation, een veelgebruikt, lichtgewicht formaat voor gegevensuitwisseling.</w:t>
            </w:r>
          </w:p>
        </w:tc>
      </w:tr>
      <w:tr>
        <w:tc>
          <w:tcPr>
            <w:tcW w:type="dxa" w:w="4320"/>
          </w:tcPr>
          <w:p>
            <w:r>
              <w:rPr>
                <w:rFonts w:ascii="Arial" w:hAnsi="Arial"/>
                <w:b/>
                <w:i w:val="0"/>
                <w:color w:val="000000"/>
                <w:sz w:val="22"/>
              </w:rPr>
              <w:t>Leerresultaten</w:t>
            </w:r>
          </w:p>
        </w:tc>
        <w:tc>
          <w:tcPr>
            <w:tcW w:type="dxa" w:w="4320"/>
          </w:tcPr>
          <w:p>
            <w:r>
              <w:rPr>
                <w:rFonts w:ascii="Arial" w:hAnsi="Arial"/>
                <w:b w:val="0"/>
                <w:i w:val="0"/>
                <w:color w:val="000000"/>
                <w:sz w:val="22"/>
              </w:rPr>
              <w:t>Beschrijvingen van wat een individu weet, begrijpt en kan doen na voltooiing van een leerproces, gedefinieerd in termen van kennis, vaardigheden en attitudes. DigComp 3.0 bevat beoogde leerresultaten, d.w.z. wat een individu geacht wordt te weten, te begrijpen of te kunnen – in plaats van behaalde leerresultaten – het aantonen van wat een individu weet, begrijpt of kan. Sectie 2.5 van het DigComp 3.0-raamwerk geeft meer details.</w:t>
            </w:r>
          </w:p>
        </w:tc>
      </w:tr>
      <w:tr>
        <w:tc>
          <w:tcPr>
            <w:tcW w:type="dxa" w:w="4320"/>
          </w:tcPr>
          <w:p>
            <w:r>
              <w:rPr>
                <w:rFonts w:ascii="Arial" w:hAnsi="Arial"/>
                <w:b/>
                <w:i w:val="0"/>
                <w:color w:val="000000"/>
                <w:sz w:val="22"/>
              </w:rPr>
              <w:t>Licentie</w:t>
            </w:r>
          </w:p>
        </w:tc>
        <w:tc>
          <w:tcPr>
            <w:tcW w:type="dxa" w:w="4320"/>
          </w:tcPr>
          <w:p>
            <w:r>
              <w:rPr>
                <w:rFonts w:ascii="Arial" w:hAnsi="Arial"/>
                <w:b w:val="0"/>
                <w:i w:val="0"/>
                <w:color w:val="000000"/>
                <w:sz w:val="22"/>
              </w:rPr>
              <w:t>Verleent toestemming om bepaalde software, applicatie, content of dienst te gebruiken. Een licentie in digitale contexten kan verschillende vormen aannemen: het kan een serienummer zijn dat tijdens het installatieproces moet worden ingevoerd, een activeringscode die wordt gebruikt om een online dienst te ontgrendelen, een elektronisch bestand dat aan een gebruikersaccount is gekoppeld, of een licentiecode. Het hoofddoel van een licentie is het vastleggen van de wettelijke rechten en beperkingen met betrekking tot het gebruik van de software, applicatie, content of dienst. Digitale licenties kunnen ook voordelen bieden zoals gemakkelijke toegang tot updates en upgrades en het vergemakkelijken van het beheer van licenties op meerdere apparaten.</w:t>
            </w:r>
          </w:p>
        </w:tc>
      </w:tr>
      <w:tr>
        <w:tc>
          <w:tcPr>
            <w:tcW w:type="dxa" w:w="4320"/>
          </w:tcPr>
          <w:p>
            <w:r>
              <w:rPr>
                <w:rFonts w:ascii="Arial" w:hAnsi="Arial"/>
                <w:b/>
                <w:i w:val="0"/>
                <w:color w:val="000000"/>
                <w:sz w:val="22"/>
              </w:rPr>
              <w:t>Linked open data</w:t>
            </w:r>
          </w:p>
        </w:tc>
        <w:tc>
          <w:tcPr>
            <w:tcW w:type="dxa" w:w="4320"/>
          </w:tcPr>
          <w:p>
            <w:r>
              <w:rPr>
                <w:rFonts w:ascii="Arial" w:hAnsi="Arial"/>
                <w:b w:val="0"/>
                <w:i w:val="0"/>
                <w:color w:val="000000"/>
                <w:sz w:val="22"/>
              </w:rPr>
              <w:t>Vrij toegankelijke en herbruikbare gegevens in een formaat dat gekoppeld kan worden aan andere gegevens.</w:t>
            </w:r>
          </w:p>
        </w:tc>
      </w:tr>
      <w:tr>
        <w:tc>
          <w:tcPr>
            <w:tcW w:type="dxa" w:w="4320"/>
          </w:tcPr>
          <w:p>
            <w:r>
              <w:rPr>
                <w:rFonts w:ascii="Arial" w:hAnsi="Arial"/>
                <w:b/>
                <w:i w:val="0"/>
                <w:color w:val="000000"/>
                <w:sz w:val="22"/>
              </w:rPr>
              <w:t>Lokken</w:t>
            </w:r>
          </w:p>
        </w:tc>
        <w:tc>
          <w:tcPr>
            <w:tcW w:type="dxa" w:w="4320"/>
          </w:tcPr>
          <w:p>
            <w:r>
              <w:rPr>
                <w:rFonts w:ascii="Arial" w:hAnsi="Arial"/>
                <w:b w:val="0"/>
                <w:i w:val="0"/>
                <w:color w:val="000000"/>
                <w:sz w:val="22"/>
              </w:rPr>
              <w:t>Zie Social engineering</w:t>
            </w:r>
          </w:p>
        </w:tc>
      </w:tr>
      <w:tr>
        <w:tc>
          <w:tcPr>
            <w:tcW w:type="dxa" w:w="4320"/>
          </w:tcPr>
          <w:p>
            <w:r>
              <w:rPr>
                <w:rFonts w:ascii="Arial" w:hAnsi="Arial"/>
                <w:b/>
                <w:i w:val="0"/>
                <w:color w:val="000000"/>
                <w:sz w:val="22"/>
              </w:rPr>
              <w:t>Machine learning</w:t>
            </w:r>
          </w:p>
        </w:tc>
        <w:tc>
          <w:tcPr>
            <w:tcW w:type="dxa" w:w="4320"/>
          </w:tcPr>
          <w:p>
            <w:r>
              <w:rPr>
                <w:rFonts w:ascii="Arial" w:hAnsi="Arial"/>
                <w:b w:val="0"/>
                <w:i w:val="0"/>
                <w:color w:val="000000"/>
                <w:sz w:val="22"/>
              </w:rPr>
              <w:t>Een vakgebied van kunstmatige intelligentie dat zich bezighoudt met de ontwikkeling en studie van statistische algoritmen die kunnen leren van gegevens en kunnen generaliseren naar ongeziene gegevens, en zo taken kunnen uitvoeren zonder expliciete instructies. Ontwikkelingen in deep learning, een subdiscipline van machine learning, hebben ervoor gezorgd dat neurale netwerken, een klasse van statistische algoritmen, veel eerdere machine learning-benaderingen hebben overtroffen. Machine learning heeft veel toepassingen, waaronder natuurlijke taalverwerking, computervisie, spraakherkenning, e-mailfiltering, landbouwbeheersystemen en diagnostische geneeskunde.</w:t>
            </w:r>
          </w:p>
        </w:tc>
      </w:tr>
      <w:tr>
        <w:tc>
          <w:tcPr>
            <w:tcW w:type="dxa" w:w="4320"/>
          </w:tcPr>
          <w:p>
            <w:r>
              <w:rPr>
                <w:rFonts w:ascii="Arial" w:hAnsi="Arial"/>
                <w:b/>
                <w:i w:val="0"/>
                <w:color w:val="000000"/>
                <w:sz w:val="22"/>
              </w:rPr>
              <w:t>Malware</w:t>
            </w:r>
          </w:p>
        </w:tc>
        <w:tc>
          <w:tcPr>
            <w:tcW w:type="dxa" w:w="4320"/>
          </w:tcPr>
          <w:p>
            <w:r>
              <w:rPr>
                <w:rFonts w:ascii="Arial" w:hAnsi="Arial"/>
                <w:b w:val="0"/>
                <w:i w:val="0"/>
                <w:color w:val="000000"/>
                <w:sz w:val="22"/>
              </w:rPr>
              <w:t>Schadelijke software die is ontworpen om systemen binnen te dringen, schade te veroorzaken, diensten te verstoren en/of gegevens te stelen.</w:t>
            </w:r>
          </w:p>
        </w:tc>
      </w:tr>
      <w:tr>
        <w:tc>
          <w:tcPr>
            <w:tcW w:type="dxa" w:w="4320"/>
          </w:tcPr>
          <w:p>
            <w:r>
              <w:rPr>
                <w:rFonts w:ascii="Arial" w:hAnsi="Arial"/>
                <w:b/>
                <w:i w:val="0"/>
                <w:color w:val="000000"/>
                <w:sz w:val="22"/>
              </w:rPr>
              <w:t>Meervoudige verificatie</w:t>
            </w:r>
          </w:p>
        </w:tc>
        <w:tc>
          <w:tcPr>
            <w:tcW w:type="dxa" w:w="4320"/>
          </w:tcPr>
          <w:p>
            <w:r>
              <w:rPr>
                <w:rFonts w:ascii="Arial" w:hAnsi="Arial"/>
                <w:b w:val="0"/>
                <w:i w:val="0"/>
                <w:color w:val="000000"/>
                <w:sz w:val="22"/>
              </w:rPr>
              <w:t>Een digitale verificatiemethode waarbij een gebruiker pas toegang krijgt tot een website of applicatie nadat deze met succes twee of meer verschillende soorten bewijsmateriaal (of factoren) aan een verificatiemechanisme heeft gepresenteerd. Het doel van meervoudige verificatie is om persoonlijke gegevens — waaronder persoonlijke identificatie of financiële activa — te beschermen tegen toegang door een onbevoegde derde partij die bijvoorbeeld een enkel wachtwoord heeft kunnen achterhalen. Verificatie kan worden uitgevoerd op basis van iets fysieks dat de gebruiker bezit (bijv. een bankpas, een telefoon), weet (bijv. een pincode), of als onderdeel van de fysieke identiteit heeft (biometrische identificatie).</w:t>
            </w:r>
          </w:p>
        </w:tc>
      </w:tr>
      <w:tr>
        <w:tc>
          <w:tcPr>
            <w:tcW w:type="dxa" w:w="4320"/>
          </w:tcPr>
          <w:p>
            <w:r>
              <w:rPr>
                <w:rFonts w:ascii="Arial" w:hAnsi="Arial"/>
                <w:b/>
                <w:i w:val="0"/>
                <w:color w:val="000000"/>
                <w:sz w:val="22"/>
              </w:rPr>
              <w:t>Mensgericht</w:t>
            </w:r>
          </w:p>
        </w:tc>
        <w:tc>
          <w:tcPr>
            <w:tcW w:type="dxa" w:w="4320"/>
          </w:tcPr>
          <w:p>
            <w:r>
              <w:rPr>
                <w:rFonts w:ascii="Arial" w:hAnsi="Arial"/>
                <w:b w:val="0"/>
                <w:i w:val="0"/>
                <w:color w:val="000000"/>
                <w:sz w:val="22"/>
              </w:rPr>
              <w:t>Een benadering van het ontwikkelen en gebruiken van digitale technologie die erop gericht is menselijke waarden centraal te stellen, door respect voor fundamentele rechten te waarborgen, inclusief die neergelegd in de Verdragen van de Europese Unie en het Handvest van de grondrechten van de Europese Unie, die allen verenigd zijn door verwijzing naar een gemeenschappelijke basis geworteld in respect voor menselijke waardigheid, waarin de mens een unieke en onschendbare morele status geniet. Mensgerichtheid houdt ook rekening met de natuurlijke omgeving en met andere levende wezens die deel uitmaken van het menselijke ecosysteem, evenals met een duurzame benadering die het welvaren van toekomstige generaties mogelijk maakt.</w:t>
            </w:r>
          </w:p>
        </w:tc>
      </w:tr>
      <w:tr>
        <w:tc>
          <w:tcPr>
            <w:tcW w:type="dxa" w:w="4320"/>
          </w:tcPr>
          <w:p>
            <w:r>
              <w:rPr>
                <w:rFonts w:ascii="Arial" w:hAnsi="Arial"/>
                <w:b/>
                <w:i w:val="0"/>
                <w:color w:val="000000"/>
                <w:sz w:val="22"/>
              </w:rPr>
              <w:t>Misinformatie</w:t>
            </w:r>
          </w:p>
        </w:tc>
        <w:tc>
          <w:tcPr>
            <w:tcW w:type="dxa" w:w="4320"/>
          </w:tcPr>
          <w:p>
            <w:r>
              <w:rPr>
                <w:rFonts w:ascii="Arial" w:hAnsi="Arial"/>
                <w:b w:val="0"/>
                <w:i w:val="0"/>
                <w:color w:val="000000"/>
                <w:sz w:val="22"/>
              </w:rPr>
              <w:t>Onjuiste informatie, ongeacht de bedoeling om mensen te misleiden of te misleiden.</w:t>
            </w:r>
          </w:p>
        </w:tc>
      </w:tr>
      <w:tr>
        <w:tc>
          <w:tcPr>
            <w:tcW w:type="dxa" w:w="4320"/>
          </w:tcPr>
          <w:p>
            <w:r>
              <w:rPr>
                <w:rFonts w:ascii="Arial" w:hAnsi="Arial"/>
                <w:b/>
                <w:i w:val="0"/>
                <w:color w:val="000000"/>
                <w:sz w:val="22"/>
              </w:rPr>
              <w:t>Misleidende patronen</w:t>
            </w:r>
          </w:p>
        </w:tc>
        <w:tc>
          <w:tcPr>
            <w:tcW w:type="dxa" w:w="4320"/>
          </w:tcPr>
          <w:p>
            <w:r>
              <w:rPr>
                <w:rFonts w:ascii="Arial" w:hAnsi="Arial"/>
                <w:b w:val="0"/>
                <w:i w:val="0"/>
                <w:color w:val="000000"/>
                <w:sz w:val="22"/>
              </w:rPr>
              <w:t>Oneerlijke praktijken die worden toegepast via de structuur, het ontwerp of de functionaliteiten van digitale interfaces of systeemarchitectuur die individuen kunnen beïnvloeden om beslissingen te nemen die ze anders niet zouden hebben genomen. Ook (en voorheen) 'dark patterns' genoemd.</w:t>
            </w:r>
          </w:p>
        </w:tc>
      </w:tr>
      <w:tr>
        <w:tc>
          <w:tcPr>
            <w:tcW w:type="dxa" w:w="4320"/>
          </w:tcPr>
          <w:p>
            <w:r>
              <w:rPr>
                <w:rFonts w:ascii="Arial" w:hAnsi="Arial"/>
                <w:b/>
                <w:i w:val="0"/>
                <w:color w:val="000000"/>
                <w:sz w:val="22"/>
              </w:rPr>
              <w:t>Nationaal kwalificatiekader (NQF)</w:t>
            </w:r>
          </w:p>
        </w:tc>
        <w:tc>
          <w:tcPr>
            <w:tcW w:type="dxa" w:w="4320"/>
          </w:tcPr>
          <w:p>
            <w:r>
              <w:rPr>
                <w:rFonts w:ascii="Arial" w:hAnsi="Arial"/>
                <w:b w:val="0"/>
                <w:i w:val="0"/>
                <w:color w:val="000000"/>
                <w:sz w:val="22"/>
              </w:rPr>
              <w:t>Instrument voor het ontwikkelen, classificeren en uitgeven van kwalificaties in een land volgens een reeks criteria voor gespecificeerde niveaus van bereikte leerresultaten, dat nationale kwalificatiesubsystemen integreert en coördineert en de transparantie, toegang, progressie en kwaliteit van kwalificaties verbetert.</w:t>
            </w:r>
          </w:p>
        </w:tc>
      </w:tr>
      <w:tr>
        <w:tc>
          <w:tcPr>
            <w:tcW w:type="dxa" w:w="4320"/>
          </w:tcPr>
          <w:p>
            <w:r>
              <w:rPr>
                <w:rFonts w:ascii="Arial" w:hAnsi="Arial"/>
                <w:b/>
                <w:i w:val="0"/>
                <w:color w:val="000000"/>
                <w:sz w:val="22"/>
              </w:rPr>
              <w:t>Nudging</w:t>
            </w:r>
          </w:p>
        </w:tc>
        <w:tc>
          <w:tcPr>
            <w:tcW w:type="dxa" w:w="4320"/>
          </w:tcPr>
          <w:p>
            <w:r>
              <w:rPr>
                <w:rFonts w:ascii="Arial" w:hAnsi="Arial"/>
                <w:b w:val="0"/>
                <w:i w:val="0"/>
                <w:color w:val="000000"/>
                <w:sz w:val="22"/>
              </w:rPr>
              <w:t>Een term uit de gedragswetenschappen die verwijst naar elke poging om het oordeel, de keuze of het gedrag van mensen te beïnvloeden door gebruik te maken van kennis over cognitieve grenzen, vooroordelen, routines en gewoonten in individuele en sociale besluitvorming.</w:t>
            </w:r>
          </w:p>
        </w:tc>
      </w:tr>
      <w:tr>
        <w:tc>
          <w:tcPr>
            <w:tcW w:type="dxa" w:w="4320"/>
          </w:tcPr>
          <w:p>
            <w:r>
              <w:rPr>
                <w:rFonts w:ascii="Arial" w:hAnsi="Arial"/>
                <w:b/>
                <w:i w:val="0"/>
                <w:color w:val="000000"/>
                <w:sz w:val="22"/>
              </w:rPr>
              <w:t>Online dienst</w:t>
            </w:r>
          </w:p>
        </w:tc>
        <w:tc>
          <w:tcPr>
            <w:tcW w:type="dxa" w:w="4320"/>
          </w:tcPr>
          <w:p>
            <w:r>
              <w:rPr>
                <w:rFonts w:ascii="Arial" w:hAnsi="Arial"/>
                <w:b w:val="0"/>
                <w:i w:val="0"/>
                <w:color w:val="000000"/>
                <w:sz w:val="22"/>
              </w:rPr>
              <w:t>Zie Digitale platforms en diensten.</w:t>
            </w:r>
          </w:p>
        </w:tc>
      </w:tr>
      <w:tr>
        <w:tc>
          <w:tcPr>
            <w:tcW w:type="dxa" w:w="4320"/>
          </w:tcPr>
          <w:p>
            <w:r>
              <w:rPr>
                <w:rFonts w:ascii="Arial" w:hAnsi="Arial"/>
                <w:b/>
                <w:i w:val="0"/>
                <w:color w:val="000000"/>
                <w:sz w:val="22"/>
              </w:rPr>
              <w:t>Online platform</w:t>
            </w:r>
          </w:p>
        </w:tc>
        <w:tc>
          <w:tcPr>
            <w:tcW w:type="dxa" w:w="4320"/>
          </w:tcPr>
          <w:p>
            <w:r>
              <w:rPr>
                <w:rFonts w:ascii="Arial" w:hAnsi="Arial"/>
                <w:b w:val="0"/>
                <w:i w:val="0"/>
                <w:color w:val="000000"/>
                <w:sz w:val="22"/>
              </w:rPr>
              <w:t>Zie Digitale platforms en diensten.</w:t>
            </w:r>
          </w:p>
        </w:tc>
      </w:tr>
      <w:tr>
        <w:tc>
          <w:tcPr>
            <w:tcW w:type="dxa" w:w="4320"/>
          </w:tcPr>
          <w:p>
            <w:r>
              <w:rPr>
                <w:rFonts w:ascii="Arial" w:hAnsi="Arial"/>
                <w:b/>
                <w:i w:val="0"/>
                <w:color w:val="000000"/>
                <w:sz w:val="22"/>
              </w:rPr>
              <w:t>Open data</w:t>
            </w:r>
          </w:p>
        </w:tc>
        <w:tc>
          <w:tcPr>
            <w:tcW w:type="dxa" w:w="4320"/>
          </w:tcPr>
          <w:p>
            <w:r>
              <w:rPr>
                <w:rFonts w:ascii="Arial" w:hAnsi="Arial"/>
                <w:b w:val="0"/>
                <w:i w:val="0"/>
                <w:color w:val="000000"/>
                <w:sz w:val="22"/>
              </w:rPr>
              <w:t>Gegevens die openlijk toegankelijk, exploiteerbaar, bewerkbaar en deelbaar zijn door iedereen voor elk doel. Open data worden over het algemeen gelicentieerd onder een open licentie (een licentie die toestemming geeft voor toegang, hergebruik en herdistributie van een werk met weinig of geen beperkingen).</w:t>
            </w:r>
          </w:p>
        </w:tc>
      </w:tr>
      <w:tr>
        <w:tc>
          <w:tcPr>
            <w:tcW w:type="dxa" w:w="4320"/>
          </w:tcPr>
          <w:p>
            <w:r>
              <w:rPr>
                <w:rFonts w:ascii="Arial" w:hAnsi="Arial"/>
                <w:b/>
                <w:i w:val="0"/>
                <w:color w:val="000000"/>
                <w:sz w:val="22"/>
              </w:rPr>
              <w:t>Open leermiddelen (OER)</w:t>
            </w:r>
          </w:p>
        </w:tc>
        <w:tc>
          <w:tcPr>
            <w:tcW w:type="dxa" w:w="4320"/>
          </w:tcPr>
          <w:p>
            <w:r>
              <w:rPr>
                <w:rFonts w:ascii="Arial" w:hAnsi="Arial"/>
                <w:b w:val="0"/>
                <w:i w:val="0"/>
                <w:color w:val="000000"/>
                <w:sz w:val="22"/>
              </w:rPr>
              <w:t>Digitaal materiaal dat vrij en open wordt aangeboden voor onderwijs, leren en onderzoek. Open leermiddelen omvatten leercontent, softwaretools om content te ontwikkelen, te gebruiken en te distribueren, en implementatiemiddelen zoals open licenties.</w:t>
            </w:r>
          </w:p>
        </w:tc>
      </w:tr>
      <w:tr>
        <w:tc>
          <w:tcPr>
            <w:tcW w:type="dxa" w:w="4320"/>
          </w:tcPr>
          <w:p>
            <w:r>
              <w:rPr>
                <w:rFonts w:ascii="Arial" w:hAnsi="Arial"/>
                <w:b/>
                <w:i w:val="0"/>
                <w:color w:val="000000"/>
                <w:sz w:val="22"/>
              </w:rPr>
              <w:t>Personalisatie</w:t>
            </w:r>
          </w:p>
        </w:tc>
        <w:tc>
          <w:tcPr>
            <w:tcW w:type="dxa" w:w="4320"/>
          </w:tcPr>
          <w:p>
            <w:r>
              <w:rPr>
                <w:rFonts w:ascii="Arial" w:hAnsi="Arial"/>
                <w:b w:val="0"/>
                <w:i w:val="0"/>
                <w:color w:val="000000"/>
                <w:sz w:val="22"/>
              </w:rPr>
              <w:t>Digitale diensten die zijn afgestemd op de interesses en voorkeuren van individuele gebruikers, met name door de toepassing van algoritmen op het online gedrag van de gebruikers.</w:t>
            </w:r>
          </w:p>
        </w:tc>
      </w:tr>
      <w:tr>
        <w:tc>
          <w:tcPr>
            <w:tcW w:type="dxa" w:w="4320"/>
          </w:tcPr>
          <w:p>
            <w:r>
              <w:rPr>
                <w:rFonts w:ascii="Arial" w:hAnsi="Arial"/>
                <w:b/>
                <w:i w:val="0"/>
                <w:color w:val="000000"/>
                <w:sz w:val="22"/>
              </w:rPr>
              <w:t>Persoonlijke gegevens</w:t>
            </w:r>
          </w:p>
        </w:tc>
        <w:tc>
          <w:tcPr>
            <w:tcW w:type="dxa" w:w="4320"/>
          </w:tcPr>
          <w:p>
            <w:r>
              <w:rPr>
                <w:rFonts w:ascii="Arial" w:hAnsi="Arial"/>
                <w:b w:val="0"/>
                <w:i w:val="0"/>
                <w:color w:val="000000"/>
                <w:sz w:val="22"/>
              </w:rPr>
              <w:t>De gegevens die betrekking hebben op een natuurlijke persoon die met deze gegevens direct of indirect kan worden geïdentificeerd.</w:t>
            </w:r>
          </w:p>
        </w:tc>
      </w:tr>
      <w:tr>
        <w:tc>
          <w:tcPr>
            <w:tcW w:type="dxa" w:w="4320"/>
          </w:tcPr>
          <w:p>
            <w:r>
              <w:rPr>
                <w:rFonts w:ascii="Arial" w:hAnsi="Arial"/>
                <w:b/>
                <w:i w:val="0"/>
                <w:color w:val="000000"/>
                <w:sz w:val="22"/>
              </w:rPr>
              <w:t>Phishing</w:t>
            </w:r>
          </w:p>
        </w:tc>
        <w:tc>
          <w:tcPr>
            <w:tcW w:type="dxa" w:w="4320"/>
          </w:tcPr>
          <w:p>
            <w:r>
              <w:rPr>
                <w:rFonts w:ascii="Arial" w:hAnsi="Arial"/>
                <w:b w:val="0"/>
                <w:i w:val="0"/>
                <w:color w:val="000000"/>
                <w:sz w:val="22"/>
              </w:rPr>
              <w:t>Zie Social engineering</w:t>
            </w:r>
          </w:p>
        </w:tc>
      </w:tr>
      <w:tr>
        <w:tc>
          <w:tcPr>
            <w:tcW w:type="dxa" w:w="4320"/>
          </w:tcPr>
          <w:p>
            <w:r>
              <w:rPr>
                <w:rFonts w:ascii="Arial" w:hAnsi="Arial"/>
                <w:b/>
                <w:i w:val="0"/>
                <w:color w:val="000000"/>
                <w:sz w:val="22"/>
              </w:rPr>
              <w:t>Piraterij</w:t>
            </w:r>
          </w:p>
        </w:tc>
        <w:tc>
          <w:tcPr>
            <w:tcW w:type="dxa" w:w="4320"/>
          </w:tcPr>
          <w:p>
            <w:r>
              <w:rPr>
                <w:rFonts w:ascii="Arial" w:hAnsi="Arial"/>
                <w:b w:val="0"/>
                <w:i w:val="0"/>
                <w:color w:val="000000"/>
                <w:sz w:val="22"/>
              </w:rPr>
              <w:t>Een vorm van inbreuk op het auteursrecht waarbij auteursrechtelijk beschermde werken, zoals muziek, films of software, zonder toestemming worden gedownload en digitaal worden verspreid. Ondanks verbeteringen in digitale technologie om piraterij tegen te gaan en de toename van digitale entertainmentplatforms, zijn de piraterijcijfers gestegen, mogelijk door een combinatie van kosten en het feit dat veel individuen piraterij niet als een ethisch probleem beschouwen. Ook wel online piraterij, digitale piraterij of softwarepiraterij genoemd.</w:t>
            </w:r>
          </w:p>
        </w:tc>
      </w:tr>
      <w:tr>
        <w:tc>
          <w:tcPr>
            <w:tcW w:type="dxa" w:w="4320"/>
          </w:tcPr>
          <w:p>
            <w:r>
              <w:rPr>
                <w:rFonts w:ascii="Arial" w:hAnsi="Arial"/>
                <w:b/>
                <w:i w:val="0"/>
                <w:color w:val="000000"/>
                <w:sz w:val="22"/>
              </w:rPr>
              <w:t>Plagiaat</w:t>
            </w:r>
          </w:p>
        </w:tc>
        <w:tc>
          <w:tcPr>
            <w:tcW w:type="dxa" w:w="4320"/>
          </w:tcPr>
          <w:p>
            <w:r>
              <w:rPr>
                <w:rFonts w:ascii="Arial" w:hAnsi="Arial"/>
                <w:b w:val="0"/>
                <w:i w:val="0"/>
                <w:color w:val="000000"/>
                <w:sz w:val="22"/>
              </w:rPr>
              <w:t>Het gebruiken van iemands anders ideeën of werk en doen alsof het van jezelf is. De brede verspreiding van AI-systemen, in het bijzonder generatieve AI, heeft een extra laag complexiteit toegevoegd aan de ethiek van plagiaat en heeft geleid tot een toename van plagiaatdetectietools, die variëren in hun effectiviteit.</w:t>
            </w:r>
          </w:p>
        </w:tc>
      </w:tr>
      <w:tr>
        <w:tc>
          <w:tcPr>
            <w:tcW w:type="dxa" w:w="4320"/>
          </w:tcPr>
          <w:p>
            <w:r>
              <w:rPr>
                <w:rFonts w:ascii="Arial" w:hAnsi="Arial"/>
                <w:b/>
                <w:i w:val="0"/>
                <w:color w:val="000000"/>
                <w:sz w:val="22"/>
              </w:rPr>
              <w:t>Platformeconomie</w:t>
            </w:r>
          </w:p>
        </w:tc>
        <w:tc>
          <w:tcPr>
            <w:tcW w:type="dxa" w:w="4320"/>
          </w:tcPr>
          <w:p>
            <w:r>
              <w:rPr>
                <w:rFonts w:ascii="Arial" w:hAnsi="Arial"/>
                <w:b w:val="0"/>
                <w:i w:val="0"/>
                <w:color w:val="000000"/>
                <w:sz w:val="22"/>
              </w:rPr>
              <w:t>Bedrijven die online platforms gebruiken om dienstverleners in contact te brengen met consumenten, waardoor peer-to-peer transacties worden vergemakkelijkt en waardecreërende interacties binnen een netwerk mogelijk worden gemaakt. Deze platforms dienen als technologische infrastructuur voor het uitwisselen van goederen en diensten tussen verschillende groepen producenten en consumenten.</w:t>
            </w:r>
          </w:p>
        </w:tc>
      </w:tr>
      <w:tr>
        <w:tc>
          <w:tcPr>
            <w:tcW w:type="dxa" w:w="4320"/>
          </w:tcPr>
          <w:p>
            <w:r>
              <w:rPr>
                <w:rFonts w:ascii="Arial" w:hAnsi="Arial"/>
                <w:b/>
                <w:i w:val="0"/>
                <w:color w:val="000000"/>
                <w:sz w:val="22"/>
              </w:rPr>
              <w:t>Pre-bunking</w:t>
            </w:r>
          </w:p>
        </w:tc>
        <w:tc>
          <w:tcPr>
            <w:tcW w:type="dxa" w:w="4320"/>
          </w:tcPr>
          <w:p>
            <w:r>
              <w:rPr>
                <w:rFonts w:ascii="Arial" w:hAnsi="Arial"/>
                <w:b w:val="0"/>
                <w:i w:val="0"/>
                <w:color w:val="000000"/>
                <w:sz w:val="22"/>
              </w:rPr>
              <w:t>Een reeks strategieën die individuen kunnen inzetten om preventieve weerbaarheid tegen misinformatie op te bouwen, door misinformatiebronnen op een hoger niveau aan te pakken dan hun specifieke misinformatieclaims.</w:t>
            </w:r>
          </w:p>
        </w:tc>
      </w:tr>
      <w:tr>
        <w:tc>
          <w:tcPr>
            <w:tcW w:type="dxa" w:w="4320"/>
          </w:tcPr>
          <w:p>
            <w:r>
              <w:rPr>
                <w:rFonts w:ascii="Arial" w:hAnsi="Arial"/>
                <w:b/>
                <w:i w:val="0"/>
                <w:color w:val="000000"/>
                <w:sz w:val="22"/>
              </w:rPr>
              <w:t>Privacy</w:t>
            </w:r>
          </w:p>
        </w:tc>
        <w:tc>
          <w:tcPr>
            <w:tcW w:type="dxa" w:w="4320"/>
          </w:tcPr>
          <w:p>
            <w:r>
              <w:rPr>
                <w:rFonts w:ascii="Arial" w:hAnsi="Arial"/>
                <w:b w:val="0"/>
                <w:i w:val="0"/>
                <w:color w:val="000000"/>
                <w:sz w:val="22"/>
              </w:rPr>
              <w:t>In de context van wetgeving zoals de Algemene Verordening Gegevensbescherming (AVG, 2018) verwijst dataprivacy naar de bekrachtiging van gebruikers om hun eigen beslissingen te nemen over wie hun gegevens mag verwerken en voor welk doel.</w:t>
            </w:r>
          </w:p>
        </w:tc>
      </w:tr>
      <w:tr>
        <w:tc>
          <w:tcPr>
            <w:tcW w:type="dxa" w:w="4320"/>
          </w:tcPr>
          <w:p>
            <w:r>
              <w:rPr>
                <w:rFonts w:ascii="Arial" w:hAnsi="Arial"/>
                <w:b/>
                <w:i w:val="0"/>
                <w:color w:val="000000"/>
                <w:sz w:val="22"/>
              </w:rPr>
              <w:t>Privacytool</w:t>
            </w:r>
          </w:p>
        </w:tc>
        <w:tc>
          <w:tcPr>
            <w:tcW w:type="dxa" w:w="4320"/>
          </w:tcPr>
          <w:p>
            <w:r>
              <w:rPr>
                <w:rFonts w:ascii="Arial" w:hAnsi="Arial"/>
                <w:b w:val="0"/>
                <w:i w:val="0"/>
                <w:color w:val="000000"/>
                <w:sz w:val="22"/>
              </w:rPr>
              <w:t>Een digitale technologie die de privacy van de gebruiker beschermt, waarbij deze doorgaans samenwerkt met internetgebruik om de hoeveelheid gebruikersinformatie die met derden wordt gedeeld te controleren of te beperken. Er zijn twee hoofdtypes privacytools. Het eerste type is het beschermen van de internetprivacy van een gebruiker tegen het wereldwijde web. Er zijn softwareproducten die het IP-adres van een gebruiker maskeren of verbergen voor de buitenwereld om de gebruiker te beschermen tegen identiteitsdiefstal. Het tweede type bescherming is het verbergen of verwijderen van de internetsporen van een gebruiker die op hun apparaat staan als gevolg van het gebruik van internet.</w:t>
            </w:r>
          </w:p>
        </w:tc>
      </w:tr>
      <w:tr>
        <w:tc>
          <w:tcPr>
            <w:tcW w:type="dxa" w:w="4320"/>
          </w:tcPr>
          <w:p>
            <w:r>
              <w:rPr>
                <w:rFonts w:ascii="Arial" w:hAnsi="Arial"/>
                <w:b/>
                <w:i w:val="0"/>
                <w:color w:val="000000"/>
                <w:sz w:val="22"/>
              </w:rPr>
              <w:t>Probleemoplossing</w:t>
            </w:r>
          </w:p>
        </w:tc>
        <w:tc>
          <w:tcPr>
            <w:tcW w:type="dxa" w:w="4320"/>
          </w:tcPr>
          <w:p>
            <w:r>
              <w:rPr>
                <w:rFonts w:ascii="Arial" w:hAnsi="Arial"/>
                <w:b w:val="0"/>
                <w:i w:val="0"/>
                <w:color w:val="000000"/>
                <w:sz w:val="22"/>
              </w:rPr>
              <w:t>Het aangaan van cognitieve en metacognitieve processen, individueel of met anderen, om een taak te volbrengen waarbij de oplossingsmethode niet onmiddellijk voor de hand ligt. Het omvat het herkennen en definiëren van het probleem, het zoeken naar informatie, en het testen en toepassen van een of meer potentiële oplossingen, en wordt ten minste gedeeltelijk in een digitale omgeving gedaan.</w:t>
            </w:r>
          </w:p>
        </w:tc>
      </w:tr>
      <w:tr>
        <w:tc>
          <w:tcPr>
            <w:tcW w:type="dxa" w:w="4320"/>
          </w:tcPr>
          <w:p>
            <w:r>
              <w:rPr>
                <w:rFonts w:ascii="Arial" w:hAnsi="Arial"/>
                <w:b/>
                <w:i w:val="0"/>
                <w:color w:val="000000"/>
                <w:sz w:val="22"/>
              </w:rPr>
              <w:t>Pseudonimisering</w:t>
            </w:r>
          </w:p>
        </w:tc>
        <w:tc>
          <w:tcPr>
            <w:tcW w:type="dxa" w:w="4320"/>
          </w:tcPr>
          <w:p>
            <w:r>
              <w:rPr>
                <w:rFonts w:ascii="Arial" w:hAnsi="Arial"/>
                <w:b w:val="0"/>
                <w:i w:val="0"/>
                <w:color w:val="000000"/>
                <w:sz w:val="22"/>
              </w:rPr>
              <w:t>In de Algemene Verordening Gegevensbescherming (AVG, 2018) verwijst pseudonimisering naar het verwerken van persoonsgegevens op een zodanige wijze dat de gegevens niet meer aan een specifieke betrokkene kunnen worden gekoppeld zonder dat er aanvullende gegevens worden gebruikt, mits deze aanvullende gegevens apart worden bewaard en technische en organisatorische maatregelen zijn genomen om ervoor te zorgen dat de persoonsgegevens niet aan een geïdentificeerde of identificeerbare natuurlijke persoon worden gekoppeld.</w:t>
            </w:r>
          </w:p>
        </w:tc>
      </w:tr>
      <w:tr>
        <w:tc>
          <w:tcPr>
            <w:tcW w:type="dxa" w:w="4320"/>
          </w:tcPr>
          <w:p>
            <w:r>
              <w:rPr>
                <w:rFonts w:ascii="Arial" w:hAnsi="Arial"/>
                <w:b/>
                <w:i w:val="0"/>
                <w:color w:val="000000"/>
                <w:sz w:val="22"/>
              </w:rPr>
              <w:t>Randapparaat</w:t>
            </w:r>
          </w:p>
        </w:tc>
        <w:tc>
          <w:tcPr>
            <w:tcW w:type="dxa" w:w="4320"/>
          </w:tcPr>
          <w:p>
            <w:r>
              <w:rPr>
                <w:rFonts w:ascii="Arial" w:hAnsi="Arial"/>
                <w:b w:val="0"/>
                <w:i w:val="0"/>
                <w:color w:val="000000"/>
                <w:sz w:val="22"/>
              </w:rPr>
              <w:t>Elk hardwareapparaat dat geen deel uitmaakt van de centrale verwerkingseenheid of het moederbord van een computer. Het draagt niet bij aan de primaire functie van een computersysteem, maar helpt gebruikers eerder bij de toegang tot en het gebruik van extra functionaliteiten die door de verbinding van dat apparaat met de computer worden geboden. Randapparatuur beslaat een breed scala, waaronder invoerapparaten (bijv. toetsenbord, muis, microfoon), uitvoerapparaten (bijv. scherm, hoofdtelefoon, luidspreker), randopslagapparaten (bijv. externe harde schijf), interne randapparaten (bijv. geheugenkaart, grafische kaart) en externe apparaten (bijv. webcam).</w:t>
            </w:r>
          </w:p>
        </w:tc>
      </w:tr>
      <w:tr>
        <w:tc>
          <w:tcPr>
            <w:tcW w:type="dxa" w:w="4320"/>
          </w:tcPr>
          <w:p>
            <w:r>
              <w:rPr>
                <w:rFonts w:ascii="Arial" w:hAnsi="Arial"/>
                <w:b/>
                <w:i w:val="0"/>
                <w:color w:val="000000"/>
                <w:sz w:val="22"/>
              </w:rPr>
              <w:t>Realiteit-virtualiteit (RV) continuüm</w:t>
            </w:r>
          </w:p>
        </w:tc>
        <w:tc>
          <w:tcPr>
            <w:tcW w:type="dxa" w:w="4320"/>
          </w:tcPr>
          <w:p>
            <w:r>
              <w:rPr>
                <w:rFonts w:ascii="Arial" w:hAnsi="Arial"/>
                <w:b w:val="0"/>
                <w:i w:val="0"/>
                <w:color w:val="000000"/>
                <w:sz w:val="22"/>
              </w:rPr>
              <w:t>Oorspronkelijk voorgesteld in de jaren 1990 voor visuele weergaven, heeft het realiteit-virtualiteit (RV) continuüm een puur reële omgeving aan het ene uiteinde, uitsluitend bestaande uit reële objecten, en aan het andere uiteinde een puur virtuele omgeving, uitsluitend bestaande uit virtuele objecten. Elke omgeving die bestaat uit het mengen van reële en virtuele objecten wordt Mixed Reality (MR) genoemd. Mixed reality-omgevingen waarbij de reële wereld wordt aangevuld met virtuele inhoud worden augmented reality (AR) genoemd, terwijl omgevingen waarbij het grootste deel van de inhoud virtueel is, maar er een zeker bewustzijn of opname is van reële objecten, augmented virtuality (AV) worden genoemd. Het concept werd in 2021 bijgewerkt om naast visuele ook zintuiglijke input te omvatten.</w:t>
            </w:r>
          </w:p>
        </w:tc>
      </w:tr>
      <w:tr>
        <w:tc>
          <w:tcPr>
            <w:tcW w:type="dxa" w:w="4320"/>
          </w:tcPr>
          <w:p>
            <w:r>
              <w:rPr>
                <w:rFonts w:ascii="Arial" w:hAnsi="Arial"/>
                <w:b/>
                <w:i w:val="0"/>
                <w:color w:val="000000"/>
                <w:sz w:val="22"/>
              </w:rPr>
              <w:t>Recht om onbereikbaar te zijn</w:t>
            </w:r>
          </w:p>
        </w:tc>
        <w:tc>
          <w:tcPr>
            <w:tcW w:type="dxa" w:w="4320"/>
          </w:tcPr>
          <w:p>
            <w:r>
              <w:rPr>
                <w:rFonts w:ascii="Arial" w:hAnsi="Arial"/>
                <w:b w:val="0"/>
                <w:i w:val="0"/>
                <w:color w:val="000000"/>
                <w:sz w:val="22"/>
              </w:rPr>
              <w:t>Verwijst naar het recht van een werknemer om zich van het werk te kunnen loskoppelen en zich te onthouden van werkgerelateerde digitale communicatie, zoals e-mails of andere berichten, buiten de werkuren. Dit concept is ontwikkeld als gevolg van de vooruitgang in communicatietechnologie en hun impact op het dagelijks leven van mensen. Hoewel er momenteel geen alomvattend EU-raamwerk is dat dit recht definieert, heeft het Europees Parlement in 2021 een resolutie aangenomen waarin wordt opgeroepen tot een richtlijn om dit recht te ondersteunen.</w:t>
            </w:r>
          </w:p>
        </w:tc>
      </w:tr>
      <w:tr>
        <w:tc>
          <w:tcPr>
            <w:tcW w:type="dxa" w:w="4320"/>
          </w:tcPr>
          <w:p>
            <w:r>
              <w:rPr>
                <w:rFonts w:ascii="Arial" w:hAnsi="Arial"/>
                <w:b/>
                <w:i w:val="0"/>
                <w:color w:val="000000"/>
                <w:sz w:val="22"/>
              </w:rPr>
              <w:t>Recht op gegevenswissing</w:t>
            </w:r>
          </w:p>
        </w:tc>
        <w:tc>
          <w:tcPr>
            <w:tcW w:type="dxa" w:w="4320"/>
          </w:tcPr>
          <w:p>
            <w:r>
              <w:rPr>
                <w:rFonts w:ascii="Arial" w:hAnsi="Arial"/>
                <w:b w:val="0"/>
                <w:i w:val="0"/>
                <w:color w:val="000000"/>
                <w:sz w:val="22"/>
              </w:rPr>
              <w:t>In de Algemene Verordening Gegevensbescherming (AVG, 2018) wordt naar het recht op gegevenswissing verwezen als het 'recht op vergetelheid'. Deze rechten staan individuen toe om te vragen dat hun gegevens worden verwijderd, en de entiteit die die gegevens bewaart, heeft de verplichting om dit te doen, met enkele uitzonderingen (bijv. als de gegevens nodig zijn om het recht op vrijheid van meningsuiting uit te oefenen; er een wettelijke verplichting is om die gegevens te bewaren; of als het in het algemeen belang is).</w:t>
            </w:r>
          </w:p>
        </w:tc>
      </w:tr>
      <w:tr>
        <w:tc>
          <w:tcPr>
            <w:tcW w:type="dxa" w:w="4320"/>
          </w:tcPr>
          <w:p>
            <w:r>
              <w:rPr>
                <w:rFonts w:ascii="Arial" w:hAnsi="Arial"/>
                <w:b/>
                <w:i w:val="0"/>
                <w:color w:val="000000"/>
                <w:sz w:val="22"/>
              </w:rPr>
              <w:t>Robot</w:t>
            </w:r>
          </w:p>
        </w:tc>
        <w:tc>
          <w:tcPr>
            <w:tcW w:type="dxa" w:w="4320"/>
          </w:tcPr>
          <w:p>
            <w:r>
              <w:rPr>
                <w:rFonts w:ascii="Arial" w:hAnsi="Arial"/>
                <w:b w:val="0"/>
                <w:i w:val="0"/>
                <w:color w:val="000000"/>
                <w:sz w:val="22"/>
              </w:rPr>
              <w:t>Een machine — in het bijzonder een machine die door een computer programmeerbaar is — die in staat is om automatisch een complexe reeks handelingen uit te voeren. Robots kunnen werken met verschillende mate van autonomie.</w:t>
            </w:r>
          </w:p>
        </w:tc>
      </w:tr>
      <w:tr>
        <w:tc>
          <w:tcPr>
            <w:tcW w:type="dxa" w:w="4320"/>
          </w:tcPr>
          <w:p>
            <w:r>
              <w:rPr>
                <w:rFonts w:ascii="Arial" w:hAnsi="Arial"/>
                <w:b/>
                <w:i w:val="0"/>
                <w:color w:val="000000"/>
                <w:sz w:val="22"/>
              </w:rPr>
              <w:t>Robotica</w:t>
            </w:r>
          </w:p>
        </w:tc>
        <w:tc>
          <w:tcPr>
            <w:tcW w:type="dxa" w:w="4320"/>
          </w:tcPr>
          <w:p>
            <w:r>
              <w:rPr>
                <w:rFonts w:ascii="Arial" w:hAnsi="Arial"/>
                <w:b w:val="0"/>
                <w:i w:val="0"/>
                <w:color w:val="000000"/>
                <w:sz w:val="22"/>
              </w:rPr>
              <w:t>De interdisciplinaire studie van en praktijk rond het ontwerp, de constructie, de werking en het gebruik van robots, waarbij aspecten van informatica en technische disciplines (zoals werktuigbouwkunde, elektrotechniek, elektronica en materiaalkunde) betrokken zijn.</w:t>
            </w:r>
          </w:p>
        </w:tc>
      </w:tr>
      <w:tr>
        <w:tc>
          <w:tcPr>
            <w:tcW w:type="dxa" w:w="4320"/>
          </w:tcPr>
          <w:p>
            <w:r>
              <w:rPr>
                <w:rFonts w:ascii="Arial" w:hAnsi="Arial"/>
                <w:b/>
                <w:i w:val="0"/>
                <w:color w:val="000000"/>
                <w:sz w:val="22"/>
              </w:rPr>
              <w:t>Samenwerking tussen mens en AI</w:t>
            </w:r>
          </w:p>
        </w:tc>
        <w:tc>
          <w:tcPr>
            <w:tcW w:type="dxa" w:w="4320"/>
          </w:tcPr>
          <w:p>
            <w:r>
              <w:rPr>
                <w:rFonts w:ascii="Arial" w:hAnsi="Arial"/>
                <w:b w:val="0"/>
                <w:i w:val="0"/>
                <w:color w:val="000000"/>
                <w:sz w:val="22"/>
              </w:rPr>
              <w:t>Proces waarbij een of meer mensen samenwerken met een of meer AI-systemen om een door de mens gedefinieerd doel te bereiken, gebaseerd op de gedachte dat mensen en AI-systemen complementaire sterktes hebben.</w:t>
            </w:r>
          </w:p>
        </w:tc>
      </w:tr>
      <w:tr>
        <w:tc>
          <w:tcPr>
            <w:tcW w:type="dxa" w:w="4320"/>
          </w:tcPr>
          <w:p>
            <w:r>
              <w:rPr>
                <w:rFonts w:ascii="Arial" w:hAnsi="Arial"/>
                <w:b/>
                <w:i w:val="0"/>
                <w:color w:val="000000"/>
                <w:sz w:val="22"/>
              </w:rPr>
              <w:t>Simpel (taak)</w:t>
            </w:r>
          </w:p>
        </w:tc>
        <w:tc>
          <w:tcPr>
            <w:tcW w:type="dxa" w:w="4320"/>
          </w:tcPr>
          <w:p>
            <w:r>
              <w:rPr>
                <w:rFonts w:ascii="Arial" w:hAnsi="Arial"/>
                <w:b w:val="0"/>
                <w:i w:val="0"/>
                <w:color w:val="000000"/>
                <w:sz w:val="22"/>
              </w:rPr>
              <w:t>In DigComp 3.0 wordt de term 'simpel' gebruikt met betrekking tot bekwaamheidsniveaus, competentiebeschrijvingen en leerresultaten. Een simpele taak is een taak die goed gedefinieerd is en uit weinig onderdelen bestaat, en daardoor gemakkelijk te begrijpen en te voltooien is; deze bevindt zich aan het ene uiterste van een continuüm met 'complex' aan het andere uiterste. Merk op dat de eenvoud van een taak niet noodzakelijkerwijs volledig kan worden beschreven op basis van taakkenmerken – de ervaring en het perspectief van een individu dat een taak uitvoert, zijn ook relevant.</w:t>
            </w:r>
          </w:p>
        </w:tc>
      </w:tr>
      <w:tr>
        <w:tc>
          <w:tcPr>
            <w:tcW w:type="dxa" w:w="4320"/>
          </w:tcPr>
          <w:p>
            <w:r>
              <w:rPr>
                <w:rFonts w:ascii="Arial" w:hAnsi="Arial"/>
                <w:b/>
                <w:i w:val="0"/>
                <w:color w:val="000000"/>
                <w:sz w:val="22"/>
              </w:rPr>
              <w:t>Social engineering</w:t>
            </w:r>
          </w:p>
        </w:tc>
        <w:tc>
          <w:tcPr>
            <w:tcW w:type="dxa" w:w="4320"/>
          </w:tcPr>
          <w:p>
            <w:r>
              <w:rPr>
                <w:rFonts w:ascii="Arial" w:hAnsi="Arial"/>
                <w:b w:val="0"/>
                <w:i w:val="0"/>
                <w:color w:val="000000"/>
                <w:sz w:val="22"/>
              </w:rPr>
              <w:t>De handeling van het manipuleren of misleiden van individuen, in het bijzonder door gebruik te maken van psychologische overreding, om toegang te krijgen tot systemen die gegevens, documenten en informatie bevatten waartoe de social engineer geen toegang zou mogen hebben. Twee veelvoorkomende benaderingen zijn (i) phishing, waarbij gebruik wordt gemaakt van misleidende e-mails, websites of berichten om gebruikers te verleiden gevoelige informatie prijs te geven of malware te installeren; en (ii) lokken (baiting), waarbij gebruik wordt gemaakt van aantrekkelijke advertenties of aanbiedingen om de gebruiker te verleiden op een link te klikken die malware bevat of die vraagt om gevoelige of persoonlijke gegevens van de gebruiker. Social engineering-technieken in digitale omgevingen worden beschouwd als een steeds hardnekkiger en geavanceerdere bedreiging voor de cybersecurity, met name door de toepassing van AI-technologie (bijv. stemklonen, personalisering van content, geautomatiseerde profilering). Gevolgen voor individuen zijn onder meer identiteitsdiefstal en reputatieschade.</w:t>
            </w:r>
          </w:p>
        </w:tc>
      </w:tr>
      <w:tr>
        <w:tc>
          <w:tcPr>
            <w:tcW w:type="dxa" w:w="4320"/>
          </w:tcPr>
          <w:p>
            <w:r>
              <w:rPr>
                <w:rFonts w:ascii="Arial" w:hAnsi="Arial"/>
                <w:b/>
                <w:i w:val="0"/>
                <w:color w:val="000000"/>
                <w:sz w:val="22"/>
              </w:rPr>
              <w:t>Sociale innovatie</w:t>
            </w:r>
          </w:p>
        </w:tc>
        <w:tc>
          <w:tcPr>
            <w:tcW w:type="dxa" w:w="4320"/>
          </w:tcPr>
          <w:p>
            <w:r>
              <w:rPr>
                <w:rFonts w:ascii="Arial" w:hAnsi="Arial"/>
                <w:b w:val="0"/>
                <w:i w:val="0"/>
                <w:color w:val="000000"/>
                <w:sz w:val="22"/>
              </w:rPr>
              <w:t>Het proces van het ontwikkelen en inzetten van effectieve oplossingen voor uitdagende en vaak systemische sociale en ecologische problemen ter ondersteuning van sociale vooruitgang.</w:t>
            </w:r>
          </w:p>
        </w:tc>
      </w:tr>
      <w:tr>
        <w:tc>
          <w:tcPr>
            <w:tcW w:type="dxa" w:w="4320"/>
          </w:tcPr>
          <w:p>
            <w:r>
              <w:rPr>
                <w:rFonts w:ascii="Arial" w:hAnsi="Arial"/>
                <w:b/>
                <w:i w:val="0"/>
                <w:color w:val="000000"/>
                <w:sz w:val="22"/>
              </w:rPr>
              <w:t>Sociale media</w:t>
            </w:r>
          </w:p>
        </w:tc>
        <w:tc>
          <w:tcPr>
            <w:tcW w:type="dxa" w:w="4320"/>
          </w:tcPr>
          <w:p>
            <w:r>
              <w:rPr>
                <w:rFonts w:ascii="Arial" w:hAnsi="Arial"/>
                <w:b w:val="0"/>
                <w:i w:val="0"/>
                <w:color w:val="000000"/>
                <w:sz w:val="22"/>
              </w:rPr>
              <w:t>Een reeks digitale technologieën die het maken, delen en aggregeren van content (zoals ideeën, interesses en andere vormen van expressie) tussen virtuele gemeenschappen en netwerken vergemakkelijken. Hun gemeenschappelijke kenmerken omvatten online platforms die gebruikers in staat stellen content te creëren en te delen en deel te nemen aan sociale netwerken; door gebruikers gegenereerde content; servicespecifieke profielen; en de verbinding van individuele gebruikersprofielen met andere individuen of groepen.</w:t>
            </w:r>
          </w:p>
        </w:tc>
      </w:tr>
      <w:tr>
        <w:tc>
          <w:tcPr>
            <w:tcW w:type="dxa" w:w="4320"/>
          </w:tcPr>
          <w:p>
            <w:r>
              <w:rPr>
                <w:rFonts w:ascii="Arial" w:hAnsi="Arial"/>
                <w:b/>
                <w:i w:val="0"/>
                <w:color w:val="000000"/>
                <w:sz w:val="22"/>
              </w:rPr>
              <w:t>Software</w:t>
            </w:r>
          </w:p>
        </w:tc>
        <w:tc>
          <w:tcPr>
            <w:tcW w:type="dxa" w:w="4320"/>
          </w:tcPr>
          <w:p>
            <w:r>
              <w:rPr>
                <w:rFonts w:ascii="Arial" w:hAnsi="Arial"/>
                <w:b w:val="0"/>
                <w:i w:val="0"/>
                <w:color w:val="000000"/>
                <w:sz w:val="22"/>
              </w:rPr>
              <w:t>Computerprogramma's die de uitvoering van een computer instrueren. Software kan worden onderverdeeld in besturingssystemen (die hardwarebronnen beheren en diensten leveren voor applicaties) en applicatiesoftware (die specifieke taken voor gebruikers uitvoert). Softwareontwikkeling beslaat verschillende fasen (ontwerp, programmering, testen, release en onderhoud).</w:t>
            </w:r>
          </w:p>
        </w:tc>
      </w:tr>
      <w:tr>
        <w:tc>
          <w:tcPr>
            <w:tcW w:type="dxa" w:w="4320"/>
          </w:tcPr>
          <w:p>
            <w:r>
              <w:rPr>
                <w:rFonts w:ascii="Arial" w:hAnsi="Arial"/>
                <w:b/>
                <w:i w:val="0"/>
                <w:color w:val="000000"/>
                <w:sz w:val="22"/>
              </w:rPr>
              <w:t>Taak</w:t>
            </w:r>
          </w:p>
        </w:tc>
        <w:tc>
          <w:tcPr>
            <w:tcW w:type="dxa" w:w="4320"/>
          </w:tcPr>
          <w:p>
            <w:r>
              <w:rPr>
                <w:rFonts w:ascii="Arial" w:hAnsi="Arial"/>
                <w:b w:val="0"/>
                <w:i w:val="0"/>
                <w:color w:val="000000"/>
                <w:sz w:val="22"/>
              </w:rPr>
              <w:t>In DigComp 3.0 is een taak, met name met betrekking tot bekwaamheidsniveaus, competentiebeschrijvingen en leerresultaten, een specifieke activiteit waarbij gebruik wordt gemaakt van digitale technologie die bijdraagt aan een doel, in elke context – het dagelijks leven, werk of leren. Taken kunnen variëren in omvang, duur en complexiteit en kunnen individueel of in samenwerking met anderen worden uitgevoerd.</w:t>
            </w:r>
          </w:p>
        </w:tc>
      </w:tr>
      <w:tr>
        <w:tc>
          <w:tcPr>
            <w:tcW w:type="dxa" w:w="4320"/>
          </w:tcPr>
          <w:p>
            <w:r>
              <w:rPr>
                <w:rFonts w:ascii="Arial" w:hAnsi="Arial"/>
                <w:b/>
                <w:i w:val="0"/>
                <w:color w:val="000000"/>
                <w:sz w:val="22"/>
              </w:rPr>
              <w:t>Toegankelijkheid</w:t>
            </w:r>
          </w:p>
        </w:tc>
        <w:tc>
          <w:tcPr>
            <w:tcW w:type="dxa" w:w="4320"/>
          </w:tcPr>
          <w:p>
            <w:r>
              <w:rPr>
                <w:rFonts w:ascii="Arial" w:hAnsi="Arial"/>
                <w:b w:val="0"/>
                <w:i w:val="0"/>
                <w:color w:val="000000"/>
                <w:sz w:val="22"/>
              </w:rPr>
              <w:t>De mate waarin producten, systemen, diensten, omgevingen en voorzieningen kunnen worden gebruikt door mensen uit een populatie met de breedste scala aan gebruikersbehoeften, kenmerken en capaciteiten om geïdentificeerde doelen te bereiken in geïdentificeerde gebruikscontexten (waaronder direct gebruik of gebruik ondersteund door ondersteunende technologie).</w:t>
            </w:r>
          </w:p>
        </w:tc>
      </w:tr>
      <w:tr>
        <w:tc>
          <w:tcPr>
            <w:tcW w:type="dxa" w:w="4320"/>
          </w:tcPr>
          <w:p>
            <w:r>
              <w:rPr>
                <w:rFonts w:ascii="Arial" w:hAnsi="Arial"/>
                <w:b/>
                <w:i w:val="0"/>
                <w:color w:val="000000"/>
                <w:sz w:val="22"/>
              </w:rPr>
              <w:t>Tool voor digitale samenwerking</w:t>
            </w:r>
          </w:p>
        </w:tc>
        <w:tc>
          <w:tcPr>
            <w:tcW w:type="dxa" w:w="4320"/>
          </w:tcPr>
          <w:p>
            <w:r>
              <w:rPr>
                <w:rFonts w:ascii="Arial" w:hAnsi="Arial"/>
                <w:b w:val="0"/>
                <w:i w:val="0"/>
                <w:color w:val="000000"/>
                <w:sz w:val="22"/>
              </w:rPr>
              <w:t>Digitale technologie die zijn ontworpen om mensen die aan een gezamenlijke taak werken te helpen hun doelen te bereiken. Dergelijke tools omvatten collaboratieve communicatie, samenwerking aan documenten, projectbeheer, workflow en kennisbeheer.</w:t>
            </w:r>
          </w:p>
        </w:tc>
      </w:tr>
      <w:tr>
        <w:tc>
          <w:tcPr>
            <w:tcW w:type="dxa" w:w="4320"/>
          </w:tcPr>
          <w:p>
            <w:r>
              <w:rPr>
                <w:rFonts w:ascii="Arial" w:hAnsi="Arial"/>
                <w:b/>
                <w:i w:val="0"/>
                <w:color w:val="000000"/>
                <w:sz w:val="22"/>
              </w:rPr>
              <w:t>Tool voor gegevensverzameling</w:t>
            </w:r>
          </w:p>
        </w:tc>
        <w:tc>
          <w:tcPr>
            <w:tcW w:type="dxa" w:w="4320"/>
          </w:tcPr>
          <w:p>
            <w:r>
              <w:rPr>
                <w:rFonts w:ascii="Arial" w:hAnsi="Arial"/>
                <w:b w:val="0"/>
                <w:i w:val="0"/>
                <w:color w:val="000000"/>
                <w:sz w:val="22"/>
              </w:rPr>
              <w:t>Digitale technologie die zijn ontworpen om gegevensverzameling uit te voeren – het vergaren en meten van informatie over gerichte variabelen binnen een vastgesteld systeem.</w:t>
            </w:r>
          </w:p>
        </w:tc>
      </w:tr>
      <w:tr>
        <w:tc>
          <w:tcPr>
            <w:tcW w:type="dxa" w:w="4320"/>
          </w:tcPr>
          <w:p>
            <w:r>
              <w:rPr>
                <w:rFonts w:ascii="Arial" w:hAnsi="Arial"/>
                <w:b/>
                <w:i w:val="0"/>
                <w:color w:val="000000"/>
                <w:sz w:val="22"/>
              </w:rPr>
              <w:t>Tool voor het creëren van digitale content</w:t>
            </w:r>
          </w:p>
        </w:tc>
        <w:tc>
          <w:tcPr>
            <w:tcW w:type="dxa" w:w="4320"/>
          </w:tcPr>
          <w:p>
            <w:r>
              <w:rPr>
                <w:rFonts w:ascii="Arial" w:hAnsi="Arial"/>
                <w:b w:val="0"/>
                <w:i w:val="0"/>
                <w:color w:val="000000"/>
                <w:sz w:val="22"/>
              </w:rPr>
              <w:t>Digitale technologieën die zijn ontworpen om het maken, bewerken en integreren van digitale content mogelijk te maken. Deze omvatten software voor tekst-, beeld-, video- en audioverwerking en -bewerking, 3D-modelleringssoftware, AI-systemen, in het bijzonder generatieve AI, en contentcreatie online zoals in sociale media, podcasts en websites.</w:t>
            </w:r>
          </w:p>
        </w:tc>
      </w:tr>
      <w:tr>
        <w:tc>
          <w:tcPr>
            <w:tcW w:type="dxa" w:w="4320"/>
          </w:tcPr>
          <w:p>
            <w:r>
              <w:rPr>
                <w:rFonts w:ascii="Arial" w:hAnsi="Arial"/>
                <w:b/>
                <w:i w:val="0"/>
                <w:color w:val="000000"/>
                <w:sz w:val="22"/>
              </w:rPr>
              <w:t>Universele zinvolle connectiviteit (UMC)</w:t>
            </w:r>
          </w:p>
        </w:tc>
        <w:tc>
          <w:tcPr>
            <w:tcW w:type="dxa" w:w="4320"/>
          </w:tcPr>
          <w:p>
            <w:r>
              <w:rPr>
                <w:rFonts w:ascii="Arial" w:hAnsi="Arial"/>
                <w:b w:val="0"/>
                <w:i w:val="0"/>
                <w:color w:val="000000"/>
                <w:sz w:val="22"/>
              </w:rPr>
              <w:t>De mogelijkheid voor iedereen om te genieten van een veilige, verrijkende, productieve en betaalbare online ervaring, bestaande uit zes onderling afhankelijke dimensies: kwaliteit van de verbinding, beschikbaarheid voor gebruik, betaalbaarheid, apparaten, vaardigheden en veiligheid.</w:t>
            </w:r>
          </w:p>
        </w:tc>
      </w:tr>
      <w:tr>
        <w:tc>
          <w:tcPr>
            <w:tcW w:type="dxa" w:w="4320"/>
          </w:tcPr>
          <w:p>
            <w:r>
              <w:rPr>
                <w:rFonts w:ascii="Arial" w:hAnsi="Arial"/>
                <w:b/>
                <w:i w:val="0"/>
                <w:color w:val="000000"/>
                <w:sz w:val="22"/>
              </w:rPr>
              <w:t>Verantwoord gebruik (van digitale technologie)</w:t>
            </w:r>
          </w:p>
        </w:tc>
        <w:tc>
          <w:tcPr>
            <w:tcW w:type="dxa" w:w="4320"/>
          </w:tcPr>
          <w:p>
            <w:r>
              <w:rPr>
                <w:rFonts w:ascii="Arial" w:hAnsi="Arial"/>
                <w:b w:val="0"/>
                <w:i w:val="0"/>
                <w:color w:val="000000"/>
                <w:sz w:val="22"/>
              </w:rPr>
              <w:t>Het bewuste, ethische en effectieve gebruik van digitale technologie om de voordelen ervan te maximaliseren en de risico's te minimaliseren.</w:t>
            </w:r>
          </w:p>
        </w:tc>
      </w:tr>
      <w:tr>
        <w:tc>
          <w:tcPr>
            <w:tcW w:type="dxa" w:w="4320"/>
          </w:tcPr>
          <w:p>
            <w:r>
              <w:rPr>
                <w:rFonts w:ascii="Arial" w:hAnsi="Arial"/>
                <w:b/>
                <w:i w:val="0"/>
                <w:color w:val="000000"/>
                <w:sz w:val="22"/>
              </w:rPr>
              <w:t>Virtual reality, realiteiten (VR)</w:t>
            </w:r>
          </w:p>
        </w:tc>
        <w:tc>
          <w:tcPr>
            <w:tcW w:type="dxa" w:w="4320"/>
          </w:tcPr>
          <w:p>
            <w:r>
              <w:rPr>
                <w:rFonts w:ascii="Arial" w:hAnsi="Arial"/>
                <w:b w:val="0"/>
                <w:i w:val="0"/>
                <w:color w:val="000000"/>
                <w:sz w:val="22"/>
              </w:rPr>
              <w:t>Verwijst doorgaans naar driedimensionale, immersieve, volledig door de computer gegenereerde omgevingen waartoe gebruikers toegang hebben, bijv. via virtual reality-headsets. Verschillende concepten zoals augmented reality (AR) en mixed reality (MR) worden gebruikt om te verwijzen naar verschillende gradaties op het realiteit-virtualiteit continuüm. Er is voorgesteld dat de term 'extended reality' (XR) al deze digitale technologieën dekt.</w:t>
            </w:r>
          </w:p>
        </w:tc>
      </w:tr>
      <w:tr>
        <w:tc>
          <w:tcPr>
            <w:tcW w:type="dxa" w:w="4320"/>
          </w:tcPr>
          <w:p>
            <w:r>
              <w:rPr>
                <w:rFonts w:ascii="Arial" w:hAnsi="Arial"/>
                <w:b/>
                <w:i w:val="0"/>
                <w:color w:val="000000"/>
                <w:sz w:val="22"/>
              </w:rPr>
              <w:t>Virtuele assistent</w:t>
            </w:r>
          </w:p>
        </w:tc>
        <w:tc>
          <w:tcPr>
            <w:tcW w:type="dxa" w:w="4320"/>
          </w:tcPr>
          <w:p>
            <w:r>
              <w:rPr>
                <w:rFonts w:ascii="Arial" w:hAnsi="Arial"/>
                <w:b w:val="0"/>
                <w:i w:val="0"/>
                <w:color w:val="000000"/>
                <w:sz w:val="22"/>
              </w:rPr>
              <w:t>Digitale technologie die een reeks taken of diensten voor een gebruiker kan uitvoeren op basis van input van de gebruiker, zoals commando's of vragen, inclusief mondelinge. Dergelijke technologieën maken vaak gebruik van chatbot-mogelijkheden om de uitvoering van taken te stroomlijnen. De interactie kan via tekst, grafische interface of spraak verlopen, aangezien sommige virtuele assistenten menselijke spraak kunnen interpreteren en reageren via gesynthetiseerde stemmen. In veel gevallen gebruiken gebruikers gesproken commando's om online informatie te raadplegen, apparaten in huis en het afspelen van media te bedienen, en andere basistaken te beheren zoals e-mail, takenlijsten en agenda's. Bedrijven in verschillende sectoren integreren vaak een vorm van virtuele assistent-technologie in hun klantenservice of ondersteuning.</w:t>
            </w:r>
          </w:p>
        </w:tc>
      </w:tr>
      <w:tr>
        <w:tc>
          <w:tcPr>
            <w:tcW w:type="dxa" w:w="4320"/>
          </w:tcPr>
          <w:p>
            <w:r>
              <w:rPr>
                <w:rFonts w:ascii="Arial" w:hAnsi="Arial"/>
                <w:b/>
                <w:i w:val="0"/>
                <w:color w:val="000000"/>
                <w:sz w:val="22"/>
              </w:rPr>
              <w:t>Vooroordeel</w:t>
            </w:r>
          </w:p>
        </w:tc>
        <w:tc>
          <w:tcPr>
            <w:tcW w:type="dxa" w:w="4320"/>
          </w:tcPr>
          <w:p>
            <w:r>
              <w:rPr>
                <w:rFonts w:ascii="Arial" w:hAnsi="Arial"/>
                <w:b w:val="0"/>
                <w:i w:val="0"/>
                <w:color w:val="000000"/>
                <w:sz w:val="22"/>
              </w:rPr>
              <w:t>Een systematische afwijking van een werkelijke toestand. Er zijn verschillende vormen van bias, zoals de subjectieve bias van individuen, data- en algoritmebias, de bias van ontwikkelaars en geïnstitutionaliseerde vormen van bias die diepgeworteld zijn in de onderliggende maatschappelijke context.</w:t>
            </w:r>
          </w:p>
        </w:tc>
      </w:tr>
      <w:tr>
        <w:tc>
          <w:tcPr>
            <w:tcW w:type="dxa" w:w="4320"/>
          </w:tcPr>
          <w:p>
            <w:r>
              <w:rPr>
                <w:rFonts w:ascii="Arial" w:hAnsi="Arial"/>
                <w:b/>
                <w:i w:val="0"/>
                <w:color w:val="000000"/>
                <w:sz w:val="22"/>
              </w:rPr>
              <w:t>Welzijn (in digitale omgevingen)</w:t>
            </w:r>
          </w:p>
        </w:tc>
        <w:tc>
          <w:tcPr>
            <w:tcW w:type="dxa" w:w="4320"/>
          </w:tcPr>
          <w:p>
            <w:r>
              <w:rPr>
                <w:rFonts w:ascii="Arial" w:hAnsi="Arial"/>
                <w:b w:val="0"/>
                <w:i w:val="0"/>
                <w:color w:val="000000"/>
                <w:sz w:val="22"/>
              </w:rPr>
              <w:t>Een toestand van fysiek, mentaal en sociaal welzijn in relatie tot het gebruik van en de aanwezigheid van een individu in digitale omgevingen. Het fysieke aspect verwijst naar een reeks kenmerken, zoals slaap en rust, evenwicht tussen fysieke en zittende activiteiten, houding, gezondheid van het bewegingsapparaat en gezichtsvermogen. Het mentale aspect verwijst ook naar een reeks kenmerken zoals de aanwezigheid of afwezigheid van depressie, angst, een laag zelfbeeld of problematisch gebruik van digitale technologie die het mentale welzijn beïnvloeden. Het sociale aspect van welzijn verwijst naar een gevoel van betrokkenheid bij individuen en gemeenschappen (bijv. toegang tot en gebruik van sociaal kapitaal; sociaal vertrouwen; sociale verbondenheid).</w:t>
            </w:r>
          </w:p>
        </w:tc>
      </w:tr>
      <w:tr>
        <w:tc>
          <w:tcPr>
            <w:tcW w:type="dxa" w:w="4320"/>
          </w:tcPr>
          <w:p>
            <w:r>
              <w:rPr>
                <w:rFonts w:ascii="Arial" w:hAnsi="Arial"/>
                <w:b/>
                <w:i w:val="0"/>
                <w:color w:val="000000"/>
                <w:sz w:val="22"/>
              </w:rPr>
              <w:t>‘Unplugged’ activiteiten</w:t>
            </w:r>
          </w:p>
        </w:tc>
        <w:tc>
          <w:tcPr>
            <w:tcW w:type="dxa" w:w="4320"/>
          </w:tcPr>
          <w:p>
            <w:r>
              <w:rPr>
                <w:rFonts w:ascii="Arial" w:hAnsi="Arial"/>
                <w:b w:val="0"/>
                <w:i w:val="0"/>
                <w:color w:val="000000"/>
                <w:sz w:val="22"/>
              </w:rPr>
              <w:t>Activiteiten die geen schermen of elektronische apparaten omvatten. Ze kunnen variëren van hobby's en lichaamsbeweging tot sociale activiteiten die geen digitale invoer vereisen. In DigComp 3.0 verwijzen unplugged-activiteiten voornamelijk naar onderwijs- en leeractiviteiten die geen digitale invoer vereisen.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