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5000" w:type="pct"/>
        <w:tblBorders>
          <w:left w:val="nil"/>
          <w:right w:val="nil"/>
          <w:insideV w:val="nil"/>
          <w:top w:val="single" w:sz="4" w:color="D9D9D9"/>
          <w:bottom w:val="single" w:sz="4" w:color="D9D9D9"/>
          <w:insideH w:val="single" w:sz="4" w:color="D9D9D9"/>
        </w:tblBorders>
      </w:tblPr>
      <w:tblGrid>
        <w:gridCol w:w="3627"/>
        <w:gridCol w:w="3627"/>
        <w:gridCol w:w="3627"/>
      </w:tblGrid>
      <w:tr>
        <w:tc>
          <w:tcPr>
            <w:tcW w:type="dxa" w:w="3627"/>
          </w:tcPr>
          <w:p>
            <w:r>
              <w:rPr>
                <w:rFonts w:ascii="Arial" w:hAnsi="Arial"/>
                <w:b/>
                <w:i w:val="0"/>
                <w:color w:val="2F5597"/>
                <w:sz w:val="22"/>
              </w:rPr>
              <w:t>GEBIED</w:t>
            </w:r>
          </w:p>
        </w:tc>
        <w:tc>
          <w:tcPr>
            <w:tcW w:type="dxa" w:w="3627"/>
          </w:tcPr>
          <w:p>
            <w:r>
              <w:rPr>
                <w:rFonts w:ascii="Arial" w:hAnsi="Arial"/>
                <w:b/>
                <w:i w:val="0"/>
                <w:color w:val="2F5597"/>
                <w:sz w:val="22"/>
              </w:rPr>
              <w:t>TITEL</w:t>
            </w:r>
          </w:p>
        </w:tc>
        <w:tc>
          <w:tcPr>
            <w:tcW w:type="dxa" w:w="3627"/>
          </w:tcPr>
          <w:p>
            <w:r>
              <w:rPr>
                <w:rFonts w:ascii="Arial" w:hAnsi="Arial"/>
                <w:b/>
                <w:i w:val="0"/>
                <w:color w:val="2F5597"/>
                <w:sz w:val="22"/>
              </w:rPr>
              <w:t>BESCHRIJVING</w:t>
            </w:r>
          </w:p>
        </w:tc>
      </w:tr>
      <w:tr>
        <w:tc>
          <w:tcPr>
            <w:tcW w:type="dxa" w:w="3627"/>
            <w:vMerge w:val="restart"/>
          </w:tcPr>
          <w:p>
            <w:r>
              <w:drawing>
                <wp:inline xmlns:a="http://schemas.openxmlformats.org/drawingml/2006/main" xmlns:pic="http://schemas.openxmlformats.org/drawingml/2006/picture">
                  <wp:extent cx="540000" cy="507600"/>
                  <wp:docPr id="1" name="Picture 1"/>
                  <wp:cNvGraphicFramePr>
                    <a:graphicFrameLocks noChangeAspect="1"/>
                  </wp:cNvGraphicFramePr>
                  <a:graphic>
                    <a:graphicData uri="http://schemas.openxmlformats.org/drawingml/2006/picture">
                      <pic:pic>
                        <pic:nvPicPr>
                          <pic:cNvPr id="0" name="DC3_small_c1.png"/>
                          <pic:cNvPicPr/>
                        </pic:nvPicPr>
                        <pic:blipFill>
                          <a:blip r:embed="rId9"/>
                          <a:stretch>
                            <a:fillRect/>
                          </a:stretch>
                        </pic:blipFill>
                        <pic:spPr>
                          <a:xfrm>
                            <a:off x="0" y="0"/>
                            <a:ext cx="540000" cy="507600"/>
                          </a:xfrm>
                          <a:prstGeom prst="rect"/>
                        </pic:spPr>
                      </pic:pic>
                    </a:graphicData>
                  </a:graphic>
                </wp:inline>
              </w:drawing>
            </w:r>
          </w:p>
          <w:p>
            <w:r>
              <w:rPr>
                <w:rFonts w:ascii="Arial" w:hAnsi="Arial"/>
                <w:b/>
                <w:i w:val="0"/>
                <w:color w:val="FFC000"/>
                <w:sz w:val="22"/>
              </w:rPr>
              <w:t>1. INFORMATIE ZOEKEN, EVALUEREN EN BEHEREN</w:t>
            </w:r>
          </w:p>
          <w:p>
            <w:r>
              <w:rPr>
                <w:rFonts w:ascii="Arial" w:hAnsi="Arial"/>
                <w:b w:val="0"/>
                <w:i w:val="0"/>
                <w:color w:val="000000"/>
                <w:sz w:val="22"/>
              </w:rPr>
              <w:t>Het formuleren van informatiebehoeften en het zoeken naar, vinden en ophalen van digitale informatie en inhoud. Het beoordelen van de relevantie van de bron en de inhoud ervan in digitale omgevingen. Het kritisch evalueren van digitale bronnen, inhoud en de processen die worden gebruikt om deze te genereren. Het opslaan, beheren, organiseren en analyseren van digitale informatie en gegevens.</w:t>
            </w:r>
          </w:p>
        </w:tc>
        <w:tc>
          <w:tcPr>
            <w:tcW w:type="dxa" w:w="3627"/>
          </w:tcPr>
          <w:p>
            <w:r>
              <w:rPr>
                <w:rFonts w:ascii="Arial" w:hAnsi="Arial"/>
                <w:b/>
                <w:i w:val="0"/>
                <w:color w:val="000000"/>
                <w:sz w:val="22"/>
              </w:rPr>
              <w:t>1.1 Browsen, zoeken en filteren van informatie</w:t>
            </w:r>
          </w:p>
        </w:tc>
        <w:tc>
          <w:tcPr>
            <w:tcW w:type="dxa" w:w="3627"/>
          </w:tcPr>
          <w:p>
            <w:r>
              <w:rPr>
                <w:rFonts w:ascii="Arial" w:hAnsi="Arial"/>
                <w:b w:val="0"/>
                <w:i w:val="0"/>
                <w:color w:val="000000"/>
                <w:sz w:val="22"/>
              </w:rPr>
              <w:t>Het formuleren van informatiebehoeften, weten hoe en waar te zoeken naar informatie en inhoud in digitale omgevingen, en hiertoe toegang verkrijgen en ertussen navigeren. Geschikte digitale middelen selecteren om zoekopdrachten in digitale omgevingen te creëren, uit te voeren en bij te werken, en in staat zijn om onderscheid te maken tussen relevante en irrelevante informatie en inhoud.</w:t>
            </w:r>
          </w:p>
        </w:tc>
      </w:tr>
      <w:tr>
        <w:tc>
          <w:tcPr>
            <w:tcW w:type="dxa" w:w="3627"/>
            <w:vMerge/>
          </w:tcPr>
          <w:p/>
        </w:tc>
        <w:tc>
          <w:tcPr>
            <w:tcW w:type="dxa" w:w="3627"/>
          </w:tcPr>
          <w:p>
            <w:r>
              <w:rPr>
                <w:rFonts w:ascii="Arial" w:hAnsi="Arial"/>
                <w:b/>
                <w:i w:val="0"/>
                <w:color w:val="000000"/>
                <w:sz w:val="22"/>
              </w:rPr>
              <w:t>1.2 Informatie evalueren</w:t>
            </w:r>
          </w:p>
        </w:tc>
        <w:tc>
          <w:tcPr>
            <w:tcW w:type="dxa" w:w="3627"/>
          </w:tcPr>
          <w:p>
            <w:r>
              <w:rPr>
                <w:rFonts w:ascii="Arial" w:hAnsi="Arial"/>
                <w:b w:val="0"/>
                <w:i w:val="0"/>
                <w:color w:val="000000"/>
                <w:sz w:val="22"/>
              </w:rPr>
              <w:t>De geloofwaardigheid en betrouwbaarheid van informatiebronnen en inhoud in digitale omgevingen beoordelen en vergelijken. Informatie en inhoud in digitale omgevingen, en de processen die worden gebruikt om deze te genereren, interpreteren en kritisch evalueren.</w:t>
            </w:r>
          </w:p>
        </w:tc>
      </w:tr>
      <w:tr>
        <w:tc>
          <w:tcPr>
            <w:tcW w:type="dxa" w:w="3627"/>
            <w:vMerge/>
          </w:tcPr>
          <w:p/>
        </w:tc>
        <w:tc>
          <w:tcPr>
            <w:tcW w:type="dxa" w:w="3627"/>
          </w:tcPr>
          <w:p>
            <w:r>
              <w:rPr>
                <w:rFonts w:ascii="Arial" w:hAnsi="Arial"/>
                <w:b/>
                <w:i w:val="0"/>
                <w:color w:val="000000"/>
                <w:sz w:val="22"/>
              </w:rPr>
              <w:t>1.3 Informatie beheren</w:t>
            </w:r>
          </w:p>
        </w:tc>
        <w:tc>
          <w:tcPr>
            <w:tcW w:type="dxa" w:w="3627"/>
          </w:tcPr>
          <w:p>
            <w:r>
              <w:rPr>
                <w:rFonts w:ascii="Arial" w:hAnsi="Arial"/>
                <w:b w:val="0"/>
                <w:i w:val="0"/>
                <w:color w:val="000000"/>
                <w:sz w:val="22"/>
              </w:rPr>
              <w:t>Het organiseren, opslaan en ophalen van informatie en gegevens in digitale omgevingen. Het verzamelen, verwerken en analyseren van informatie en gegevens in gestructureerde digitale omgevingen.</w:t>
            </w:r>
          </w:p>
        </w:tc>
      </w:tr>
      <w:tr>
        <w:tc>
          <w:tcPr>
            <w:tcW w:type="dxa" w:w="3627"/>
            <w:vMerge w:val="restart"/>
          </w:tcPr>
          <w:p>
            <w:r>
              <w:drawing>
                <wp:inline xmlns:a="http://schemas.openxmlformats.org/drawingml/2006/main" xmlns:pic="http://schemas.openxmlformats.org/drawingml/2006/picture">
                  <wp:extent cx="540000" cy="528692"/>
                  <wp:docPr id="2" name="Picture 2"/>
                  <wp:cNvGraphicFramePr>
                    <a:graphicFrameLocks noChangeAspect="1"/>
                  </wp:cNvGraphicFramePr>
                  <a:graphic>
                    <a:graphicData uri="http://schemas.openxmlformats.org/drawingml/2006/picture">
                      <pic:pic>
                        <pic:nvPicPr>
                          <pic:cNvPr id="0" name="DC3_small_c2.png"/>
                          <pic:cNvPicPr/>
                        </pic:nvPicPr>
                        <pic:blipFill>
                          <a:blip r:embed="rId10"/>
                          <a:stretch>
                            <a:fillRect/>
                          </a:stretch>
                        </pic:blipFill>
                        <pic:spPr>
                          <a:xfrm>
                            <a:off x="0" y="0"/>
                            <a:ext cx="540000" cy="528692"/>
                          </a:xfrm>
                          <a:prstGeom prst="rect"/>
                        </pic:spPr>
                      </pic:pic>
                    </a:graphicData>
                  </a:graphic>
                </wp:inline>
              </w:drawing>
            </w:r>
          </w:p>
          <w:p>
            <w:r>
              <w:rPr>
                <w:rFonts w:ascii="Arial" w:hAnsi="Arial"/>
                <w:b/>
                <w:i w:val="0"/>
                <w:color w:val="2F5597"/>
                <w:sz w:val="22"/>
              </w:rPr>
              <w:t>2. COMMUNICATIE EN SAMENWERKING</w:t>
            </w:r>
          </w:p>
          <w:p>
            <w:r>
              <w:rPr>
                <w:rFonts w:ascii="Arial" w:hAnsi="Arial"/>
                <w:b w:val="0"/>
                <w:i w:val="0"/>
                <w:color w:val="000000"/>
                <w:sz w:val="22"/>
              </w:rPr>
              <w:t>Interacteren, delen, communiceren en samenwerken in digitale omgevingen, met aandacht voor culturele, generationele en andere diversiteit en de kenmerken en beperkingen van digitale technologieën. Participeren in de samenleving via digitale technologieën. Je rechten opeisen en keuzes maken in digitale omgevingen. Het beheren van je digitale aanwezigheid, identiteit en reputatie.</w:t>
            </w:r>
          </w:p>
        </w:tc>
        <w:tc>
          <w:tcPr>
            <w:tcW w:type="dxa" w:w="3627"/>
          </w:tcPr>
          <w:p>
            <w:r>
              <w:rPr>
                <w:rFonts w:ascii="Arial" w:hAnsi="Arial"/>
                <w:b/>
                <w:i w:val="0"/>
                <w:color w:val="000000"/>
                <w:sz w:val="22"/>
              </w:rPr>
              <w:t>2.1 Interacteren via en met digitale technologieën</w:t>
            </w:r>
          </w:p>
        </w:tc>
        <w:tc>
          <w:tcPr>
            <w:tcW w:type="dxa" w:w="3627"/>
          </w:tcPr>
          <w:p>
            <w:r>
              <w:rPr>
                <w:rFonts w:ascii="Arial" w:hAnsi="Arial"/>
                <w:b w:val="0"/>
                <w:i w:val="0"/>
                <w:color w:val="000000"/>
                <w:sz w:val="22"/>
              </w:rPr>
              <w:t>Interacteren via en met een verscheidenheid aan digitale technologieën, en passende digitale communicatie gebruiken voor een gegeven context.</w:t>
            </w:r>
          </w:p>
        </w:tc>
      </w:tr>
      <w:tr>
        <w:tc>
          <w:tcPr>
            <w:tcW w:type="dxa" w:w="3627"/>
            <w:vMerge/>
          </w:tcPr>
          <w:p/>
        </w:tc>
        <w:tc>
          <w:tcPr>
            <w:tcW w:type="dxa" w:w="3627"/>
          </w:tcPr>
          <w:p>
            <w:r>
              <w:rPr>
                <w:rFonts w:ascii="Arial" w:hAnsi="Arial"/>
                <w:b/>
                <w:i w:val="0"/>
                <w:color w:val="000000"/>
                <w:sz w:val="22"/>
              </w:rPr>
              <w:t>2.2 Delen via digitale technologieën</w:t>
            </w:r>
          </w:p>
        </w:tc>
        <w:tc>
          <w:tcPr>
            <w:tcW w:type="dxa" w:w="3627"/>
          </w:tcPr>
          <w:p>
            <w:r>
              <w:rPr>
                <w:rFonts w:ascii="Arial" w:hAnsi="Arial"/>
                <w:b w:val="0"/>
                <w:i w:val="0"/>
                <w:color w:val="000000"/>
                <w:sz w:val="22"/>
              </w:rPr>
              <w:t>Informatie en inhoud op een ethische en verantwoorde manier delen met anderen via passende digitale technologieën.</w:t>
            </w:r>
          </w:p>
        </w:tc>
      </w:tr>
      <w:tr>
        <w:tc>
          <w:tcPr>
            <w:tcW w:type="dxa" w:w="3627"/>
            <w:vMerge/>
          </w:tcPr>
          <w:p/>
        </w:tc>
        <w:tc>
          <w:tcPr>
            <w:tcW w:type="dxa" w:w="3627"/>
          </w:tcPr>
          <w:p>
            <w:r>
              <w:rPr>
                <w:rFonts w:ascii="Arial" w:hAnsi="Arial"/>
                <w:b/>
                <w:i w:val="0"/>
                <w:color w:val="000000"/>
                <w:sz w:val="22"/>
              </w:rPr>
              <w:t>2.3 Betrokkenheid bij burgerschap via digitale technologieën</w:t>
            </w:r>
          </w:p>
        </w:tc>
        <w:tc>
          <w:tcPr>
            <w:tcW w:type="dxa" w:w="3627"/>
          </w:tcPr>
          <w:p>
            <w:r>
              <w:rPr>
                <w:rFonts w:ascii="Arial" w:hAnsi="Arial"/>
                <w:b w:val="0"/>
                <w:i w:val="0"/>
                <w:color w:val="000000"/>
                <w:sz w:val="22"/>
              </w:rPr>
              <w:t>Deelnemen aan de samenleving door het ethisch en verantwoord gebruik van digitale platforms en diensten. Mogelijkheden zoeken voor zelfontplooiing en participatie via passende digitale technologieën. Je bewust zijn van je rechten en deze opeisen, en keuzes maken in digitale omgevingen.</w:t>
            </w:r>
          </w:p>
        </w:tc>
      </w:tr>
      <w:tr>
        <w:tc>
          <w:tcPr>
            <w:tcW w:type="dxa" w:w="3627"/>
            <w:vMerge/>
          </w:tcPr>
          <w:p/>
        </w:tc>
        <w:tc>
          <w:tcPr>
            <w:tcW w:type="dxa" w:w="3627"/>
          </w:tcPr>
          <w:p>
            <w:r>
              <w:rPr>
                <w:rFonts w:ascii="Arial" w:hAnsi="Arial"/>
                <w:b/>
                <w:i w:val="0"/>
                <w:color w:val="000000"/>
                <w:sz w:val="22"/>
              </w:rPr>
              <w:t>2.4 Samenwerken via digitale technologieën</w:t>
            </w:r>
          </w:p>
        </w:tc>
        <w:tc>
          <w:tcPr>
            <w:tcW w:type="dxa" w:w="3627"/>
          </w:tcPr>
          <w:p>
            <w:r>
              <w:rPr>
                <w:rFonts w:ascii="Arial" w:hAnsi="Arial"/>
                <w:b w:val="0"/>
                <w:i w:val="0"/>
                <w:color w:val="000000"/>
                <w:sz w:val="22"/>
              </w:rPr>
              <w:t>Digitale technologieën ethisch en verantwoord gebruiken voor samenwerking, en voor de gezamenlijke opbouw en creatie van informatie, bronnen en kennis.</w:t>
            </w:r>
          </w:p>
        </w:tc>
      </w:tr>
      <w:tr>
        <w:tc>
          <w:tcPr>
            <w:tcW w:type="dxa" w:w="3627"/>
            <w:vMerge/>
          </w:tcPr>
          <w:p/>
        </w:tc>
        <w:tc>
          <w:tcPr>
            <w:tcW w:type="dxa" w:w="3627"/>
          </w:tcPr>
          <w:p>
            <w:r>
              <w:rPr>
                <w:rFonts w:ascii="Arial" w:hAnsi="Arial"/>
                <w:b/>
                <w:i w:val="0"/>
                <w:color w:val="000000"/>
                <w:sz w:val="22"/>
              </w:rPr>
              <w:t>2.5 Digitaal gedrag</w:t>
            </w:r>
          </w:p>
        </w:tc>
        <w:tc>
          <w:tcPr>
            <w:tcW w:type="dxa" w:w="3627"/>
          </w:tcPr>
          <w:p>
            <w:r>
              <w:rPr>
                <w:rFonts w:ascii="Arial" w:hAnsi="Arial"/>
                <w:b w:val="0"/>
                <w:i w:val="0"/>
                <w:color w:val="000000"/>
                <w:sz w:val="22"/>
              </w:rPr>
              <w:t>Je bewust zijn van gedragsnormen en weten hoe je je respectvol moet gedragen bij het gebruik van digitale technologieën en interactie in digitale omgevingen. Communicatie aanpassen aan specifieke contexten en aandacht hebben voor culturele, generationele en andere diversiteit in digitale omgevingen.</w:t>
            </w:r>
          </w:p>
        </w:tc>
      </w:tr>
      <w:tr>
        <w:tc>
          <w:tcPr>
            <w:tcW w:type="dxa" w:w="3627"/>
            <w:vMerge/>
          </w:tcPr>
          <w:p/>
        </w:tc>
        <w:tc>
          <w:tcPr>
            <w:tcW w:type="dxa" w:w="3627"/>
          </w:tcPr>
          <w:p>
            <w:r>
              <w:rPr>
                <w:rFonts w:ascii="Arial" w:hAnsi="Arial"/>
                <w:b/>
                <w:i w:val="0"/>
                <w:color w:val="000000"/>
                <w:sz w:val="22"/>
              </w:rPr>
              <w:t>2.6 Digitale identiteit beheren</w:t>
            </w:r>
          </w:p>
        </w:tc>
        <w:tc>
          <w:tcPr>
            <w:tcW w:type="dxa" w:w="3627"/>
          </w:tcPr>
          <w:p>
            <w:r>
              <w:rPr>
                <w:rFonts w:ascii="Arial" w:hAnsi="Arial"/>
                <w:b w:val="0"/>
                <w:i w:val="0"/>
                <w:color w:val="000000"/>
                <w:sz w:val="22"/>
              </w:rPr>
              <w:t>Het beheren van één of meerdere digitale identiteiten. Acties ondernemen om je digitale reputatie te beschermen (hoe je wordt waargenomen op basis van online aanwezigheid) en je digitale voetafdruk beheren (de gegevens die worden geproduceerd door het gebruik van digitale platforms en diensten).</w:t>
            </w:r>
          </w:p>
        </w:tc>
      </w:tr>
      <w:tr>
        <w:tc>
          <w:tcPr>
            <w:tcW w:type="dxa" w:w="3627"/>
            <w:vMerge w:val="restart"/>
          </w:tcPr>
          <w:p>
            <w:r>
              <w:drawing>
                <wp:inline xmlns:a="http://schemas.openxmlformats.org/drawingml/2006/main" xmlns:pic="http://schemas.openxmlformats.org/drawingml/2006/picture">
                  <wp:extent cx="540000" cy="528750"/>
                  <wp:docPr id="3" name="Picture 3"/>
                  <wp:cNvGraphicFramePr>
                    <a:graphicFrameLocks noChangeAspect="1"/>
                  </wp:cNvGraphicFramePr>
                  <a:graphic>
                    <a:graphicData uri="http://schemas.openxmlformats.org/drawingml/2006/picture">
                      <pic:pic>
                        <pic:nvPicPr>
                          <pic:cNvPr id="0" name="DC3_small_c3.png"/>
                          <pic:cNvPicPr/>
                        </pic:nvPicPr>
                        <pic:blipFill>
                          <a:blip r:embed="rId11"/>
                          <a:stretch>
                            <a:fillRect/>
                          </a:stretch>
                        </pic:blipFill>
                        <pic:spPr>
                          <a:xfrm>
                            <a:off x="0" y="0"/>
                            <a:ext cx="540000" cy="528750"/>
                          </a:xfrm>
                          <a:prstGeom prst="rect"/>
                        </pic:spPr>
                      </pic:pic>
                    </a:graphicData>
                  </a:graphic>
                </wp:inline>
              </w:drawing>
            </w:r>
          </w:p>
          <w:p>
            <w:r>
              <w:rPr>
                <w:rFonts w:ascii="Arial" w:hAnsi="Arial"/>
                <w:b/>
                <w:i w:val="0"/>
                <w:color w:val="ED7D31"/>
                <w:sz w:val="22"/>
              </w:rPr>
              <w:t>3. CONTENTCREATIE</w:t>
            </w:r>
          </w:p>
          <w:p>
            <w:r>
              <w:rPr>
                <w:rFonts w:ascii="Arial" w:hAnsi="Arial"/>
                <w:b w:val="0"/>
                <w:i w:val="0"/>
                <w:color w:val="000000"/>
                <w:sz w:val="22"/>
              </w:rPr>
              <w:t>Het creëren en bewerken van digitale inhoud. Het verbeteren en integreren van informatie en inhoud in een bestaand geheel van kennis, met begrip van hoe auteursrecht en licenties moeten worden toegepast. Een ethische en verantwoordelijke aanpak hanteren bij het creëren, verbeteren en integreren van digitale inhoud. Weten hoe computational thinking en programmeertechnieken moeten worden toegepast om instructies te geven aan een computersysteem.</w:t>
            </w:r>
          </w:p>
        </w:tc>
        <w:tc>
          <w:tcPr>
            <w:tcW w:type="dxa" w:w="3627"/>
          </w:tcPr>
          <w:p>
            <w:r>
              <w:rPr>
                <w:rFonts w:ascii="Arial" w:hAnsi="Arial"/>
                <w:b/>
                <w:i w:val="0"/>
                <w:color w:val="000000"/>
                <w:sz w:val="22"/>
              </w:rPr>
              <w:t>3.1 Digitale inhoud ontwikkelen</w:t>
            </w:r>
          </w:p>
        </w:tc>
        <w:tc>
          <w:tcPr>
            <w:tcW w:type="dxa" w:w="3627"/>
          </w:tcPr>
          <w:p>
            <w:r>
              <w:rPr>
                <w:rFonts w:ascii="Arial" w:hAnsi="Arial"/>
                <w:b w:val="0"/>
                <w:i w:val="0"/>
                <w:color w:val="000000"/>
                <w:sz w:val="22"/>
              </w:rPr>
              <w:t>Digitale technologieën op een ethische en verantwoorde manier gebruiken om uiteenlopende inhoud te creëren en te bewerken. Jezelf uitdrukken via digitale middelen.</w:t>
            </w:r>
          </w:p>
        </w:tc>
      </w:tr>
      <w:tr>
        <w:tc>
          <w:tcPr>
            <w:tcW w:type="dxa" w:w="3627"/>
            <w:vMerge/>
          </w:tcPr>
          <w:p/>
        </w:tc>
        <w:tc>
          <w:tcPr>
            <w:tcW w:type="dxa" w:w="3627"/>
          </w:tcPr>
          <w:p>
            <w:r>
              <w:rPr>
                <w:rFonts w:ascii="Arial" w:hAnsi="Arial"/>
                <w:b/>
                <w:i w:val="0"/>
                <w:color w:val="000000"/>
                <w:sz w:val="22"/>
              </w:rPr>
              <w:t>3.2 Integreren en herwerken van digitale inhoud</w:t>
            </w:r>
          </w:p>
        </w:tc>
        <w:tc>
          <w:tcPr>
            <w:tcW w:type="dxa" w:w="3627"/>
          </w:tcPr>
          <w:p>
            <w:r>
              <w:rPr>
                <w:rFonts w:ascii="Arial" w:hAnsi="Arial"/>
                <w:b w:val="0"/>
                <w:i w:val="0"/>
                <w:color w:val="000000"/>
                <w:sz w:val="22"/>
              </w:rPr>
              <w:t>Nieuwe informatie en inhoud aanpassen, verfijnen en integreren in bestaande kennis en bronnen om nieuwe en originele inhoud en kennis te creëren.</w:t>
            </w:r>
          </w:p>
        </w:tc>
      </w:tr>
      <w:tr>
        <w:tc>
          <w:tcPr>
            <w:tcW w:type="dxa" w:w="3627"/>
            <w:vMerge/>
          </w:tcPr>
          <w:p/>
        </w:tc>
        <w:tc>
          <w:tcPr>
            <w:tcW w:type="dxa" w:w="3627"/>
          </w:tcPr>
          <w:p>
            <w:r>
              <w:rPr>
                <w:rFonts w:ascii="Arial" w:hAnsi="Arial"/>
                <w:b/>
                <w:i w:val="0"/>
                <w:color w:val="000000"/>
                <w:sz w:val="22"/>
              </w:rPr>
              <w:t>3.3 Auteursrecht en licenties</w:t>
            </w:r>
          </w:p>
        </w:tc>
        <w:tc>
          <w:tcPr>
            <w:tcW w:type="dxa" w:w="3627"/>
          </w:tcPr>
          <w:p>
            <w:r>
              <w:rPr>
                <w:rFonts w:ascii="Arial" w:hAnsi="Arial"/>
                <w:b w:val="0"/>
                <w:i w:val="0"/>
                <w:color w:val="000000"/>
                <w:sz w:val="22"/>
              </w:rPr>
              <w:t>Begrijpen hoe auteursrecht en licenties, evenals de bijbehorende juridische en ethische kwesties, van toepassing zijn op digitale inhoud, en hoe deze correct moeten worden toegepast.</w:t>
            </w:r>
          </w:p>
        </w:tc>
      </w:tr>
      <w:tr>
        <w:tc>
          <w:tcPr>
            <w:tcW w:type="dxa" w:w="3627"/>
            <w:vMerge/>
          </w:tcPr>
          <w:p/>
        </w:tc>
        <w:tc>
          <w:tcPr>
            <w:tcW w:type="dxa" w:w="3627"/>
          </w:tcPr>
          <w:p>
            <w:r>
              <w:rPr>
                <w:rFonts w:ascii="Arial" w:hAnsi="Arial"/>
                <w:b/>
                <w:i w:val="0"/>
                <w:color w:val="000000"/>
                <w:sz w:val="22"/>
              </w:rPr>
              <w:t>3.4 Computational thinking en programmeren</w:t>
            </w:r>
          </w:p>
        </w:tc>
        <w:tc>
          <w:tcPr>
            <w:tcW w:type="dxa" w:w="3627"/>
          </w:tcPr>
          <w:p>
            <w:r>
              <w:rPr>
                <w:rFonts w:ascii="Arial" w:hAnsi="Arial"/>
                <w:b w:val="0"/>
                <w:i w:val="0"/>
                <w:color w:val="000000"/>
                <w:sz w:val="22"/>
              </w:rPr>
              <w:t>Stappen begrijpen en uitvoeren om een probleem te analyseren, deelproblemen te herkennen en een reeks instructies te plannen en te ontwikkelen voor een computersysteem om een bepaald probleem op te lossen of een specifieke taak uit te voeren.</w:t>
            </w:r>
          </w:p>
        </w:tc>
      </w:tr>
      <w:tr>
        <w:tc>
          <w:tcPr>
            <w:tcW w:type="dxa" w:w="3627"/>
            <w:vMerge w:val="restart"/>
          </w:tcPr>
          <w:p>
            <w:r>
              <w:drawing>
                <wp:inline xmlns:a="http://schemas.openxmlformats.org/drawingml/2006/main" xmlns:pic="http://schemas.openxmlformats.org/drawingml/2006/picture">
                  <wp:extent cx="540000" cy="518400"/>
                  <wp:docPr id="4" name="Picture 4"/>
                  <wp:cNvGraphicFramePr>
                    <a:graphicFrameLocks noChangeAspect="1"/>
                  </wp:cNvGraphicFramePr>
                  <a:graphic>
                    <a:graphicData uri="http://schemas.openxmlformats.org/drawingml/2006/picture">
                      <pic:pic>
                        <pic:nvPicPr>
                          <pic:cNvPr id="0" name="DC3_small_c4.png"/>
                          <pic:cNvPicPr/>
                        </pic:nvPicPr>
                        <pic:blipFill>
                          <a:blip r:embed="rId12"/>
                          <a:stretch>
                            <a:fillRect/>
                          </a:stretch>
                        </pic:blipFill>
                        <pic:spPr>
                          <a:xfrm>
                            <a:off x="0" y="0"/>
                            <a:ext cx="540000" cy="518400"/>
                          </a:xfrm>
                          <a:prstGeom prst="rect"/>
                        </pic:spPr>
                      </pic:pic>
                    </a:graphicData>
                  </a:graphic>
                </wp:inline>
              </w:drawing>
            </w:r>
          </w:p>
          <w:p>
            <w:r>
              <w:rPr>
                <w:rFonts w:ascii="Arial" w:hAnsi="Arial"/>
                <w:b/>
                <w:i w:val="0"/>
                <w:color w:val="70AD47"/>
                <w:sz w:val="22"/>
              </w:rPr>
              <w:t>4. VEILIGHEID, WELZIJN EN VERANTWOORD GEBRUIK</w:t>
            </w:r>
          </w:p>
          <w:p>
            <w:r>
              <w:rPr>
                <w:rFonts w:ascii="Arial" w:hAnsi="Arial"/>
                <w:b w:val="0"/>
                <w:i w:val="0"/>
                <w:color w:val="000000"/>
                <w:sz w:val="22"/>
              </w:rPr>
              <w:t>Het beschermen van apparaten, inhoud, persoonsgegevens en privacy in digitale omgevingen. Het ondersteunen van het fysieke, mentale en sociale welzijn van jezelf en anderen, en je bewust zijn van de voordelen en risico's van digitale technologieën voor welzijn en sociale inclusie. Je bewust zijn van de milieueffecten van digitale technologieën en het gebruik ervan, actie ondernemen om deze impact te beperken en digitale technologieën gebruiken om duurzaamheid te ondersteunen.</w:t>
            </w:r>
          </w:p>
        </w:tc>
        <w:tc>
          <w:tcPr>
            <w:tcW w:type="dxa" w:w="3627"/>
          </w:tcPr>
          <w:p>
            <w:r>
              <w:rPr>
                <w:rFonts w:ascii="Arial" w:hAnsi="Arial"/>
                <w:b/>
                <w:i w:val="0"/>
                <w:color w:val="000000"/>
                <w:sz w:val="22"/>
              </w:rPr>
              <w:t>4.1 Apparaten beschermen</w:t>
            </w:r>
          </w:p>
        </w:tc>
        <w:tc>
          <w:tcPr>
            <w:tcW w:type="dxa" w:w="3627"/>
          </w:tcPr>
          <w:p>
            <w:r>
              <w:rPr>
                <w:rFonts w:ascii="Arial" w:hAnsi="Arial"/>
                <w:b w:val="0"/>
                <w:i w:val="0"/>
                <w:color w:val="000000"/>
                <w:sz w:val="22"/>
              </w:rPr>
              <w:t>Veiligheids- en cybersecuritymaatregelen toepassen om digitale apparaten en inhoud te beschermen. Je bewust zijn van de veranderende aard van risico's en bedreigingen in digitale omgevingen, en gepaste aandacht hebben voor de beveiliging van digitale apparaten en hun inhoud.</w:t>
            </w:r>
          </w:p>
        </w:tc>
      </w:tr>
      <w:tr>
        <w:tc>
          <w:tcPr>
            <w:tcW w:type="dxa" w:w="3627"/>
            <w:vMerge/>
          </w:tcPr>
          <w:p/>
        </w:tc>
        <w:tc>
          <w:tcPr>
            <w:tcW w:type="dxa" w:w="3627"/>
          </w:tcPr>
          <w:p>
            <w:r>
              <w:rPr>
                <w:rFonts w:ascii="Arial" w:hAnsi="Arial"/>
                <w:b/>
                <w:i w:val="0"/>
                <w:color w:val="000000"/>
                <w:sz w:val="22"/>
              </w:rPr>
              <w:t>4.2 Persoonsgegevens en privacy beschermen</w:t>
            </w:r>
          </w:p>
        </w:tc>
        <w:tc>
          <w:tcPr>
            <w:tcW w:type="dxa" w:w="3627"/>
          </w:tcPr>
          <w:p>
            <w:r>
              <w:rPr>
                <w:rFonts w:ascii="Arial" w:hAnsi="Arial"/>
                <w:b w:val="0"/>
                <w:i w:val="0"/>
                <w:color w:val="000000"/>
                <w:sz w:val="22"/>
              </w:rPr>
              <w:t>Je bewust zijn van je rechten met betrekking tot persoonsgegevens en privacy in digitale omgevingen en deze uitoefenen. Privacyrisico's evalueren en beheren en persoonsgegevens en privacy in digitale omgevingen beschermen. Je eigen persoonsgegevens en die van anderen op een veilige, ethische en verantwoorde manier gebruiken en delen.</w:t>
            </w:r>
          </w:p>
        </w:tc>
      </w:tr>
      <w:tr>
        <w:tc>
          <w:tcPr>
            <w:tcW w:type="dxa" w:w="3627"/>
            <w:vMerge/>
          </w:tcPr>
          <w:p/>
        </w:tc>
        <w:tc>
          <w:tcPr>
            <w:tcW w:type="dxa" w:w="3627"/>
          </w:tcPr>
          <w:p>
            <w:r>
              <w:rPr>
                <w:rFonts w:ascii="Arial" w:hAnsi="Arial"/>
                <w:b/>
                <w:i w:val="0"/>
                <w:color w:val="000000"/>
                <w:sz w:val="22"/>
              </w:rPr>
              <w:t>4.3 Welzijn ondersteunen</w:t>
            </w:r>
          </w:p>
        </w:tc>
        <w:tc>
          <w:tcPr>
            <w:tcW w:type="dxa" w:w="3627"/>
          </w:tcPr>
          <w:p>
            <w:r>
              <w:rPr>
                <w:rFonts w:ascii="Arial" w:hAnsi="Arial"/>
                <w:b w:val="0"/>
                <w:i w:val="0"/>
                <w:color w:val="000000"/>
                <w:sz w:val="22"/>
              </w:rPr>
              <w:t>Digitale technologieën gebruiken op manieren die welzijn en inclusie ondersteunen. Risico's en bedreigingen voor het fysieke, mentale en sociale welzijn van jezelf en anderen minimaliseren bij het gebruik van digitale technologieën. Het gebruik van digitale technologieën in evenwicht brengen met offline activiteiten om welzijn te ondersteunen. Actie ondernemen om jezelf en anderen te beschermen tegen mogelijke gevaren in digitale omgevingen (bijv. cyberpesten, schadelijke inhoud), en weten hoe op dergelijke gevaren te reageren.</w:t>
            </w:r>
          </w:p>
        </w:tc>
      </w:tr>
      <w:tr>
        <w:tc>
          <w:tcPr>
            <w:tcW w:type="dxa" w:w="3627"/>
            <w:vMerge/>
          </w:tcPr>
          <w:p/>
        </w:tc>
        <w:tc>
          <w:tcPr>
            <w:tcW w:type="dxa" w:w="3627"/>
          </w:tcPr>
          <w:p>
            <w:r>
              <w:rPr>
                <w:rFonts w:ascii="Arial" w:hAnsi="Arial"/>
                <w:b/>
                <w:i w:val="0"/>
                <w:color w:val="000000"/>
                <w:sz w:val="22"/>
              </w:rPr>
              <w:t>4.4 Milieueffecten van digitale technologieën</w:t>
            </w:r>
          </w:p>
        </w:tc>
        <w:tc>
          <w:tcPr>
            <w:tcW w:type="dxa" w:w="3627"/>
          </w:tcPr>
          <w:p>
            <w:r>
              <w:rPr>
                <w:rFonts w:ascii="Arial" w:hAnsi="Arial"/>
                <w:b w:val="0"/>
                <w:i w:val="0"/>
                <w:color w:val="000000"/>
                <w:sz w:val="22"/>
              </w:rPr>
              <w:t>Je bewust zijn van de milieueffecten van digitale technologieën, waaronder de productie van apparaten, het gebruik, de reparatie, recycling, verwijdering, infrastructuur voor gegevensopslag, energieverbruik en het gebruik van middelen en applicaties. Actie ondernemen om deze impact te beperken en digitale technologieën gebruiken om duurzaamheid te ondersteunen.</w:t>
            </w:r>
          </w:p>
        </w:tc>
      </w:tr>
      <w:tr>
        <w:tc>
          <w:tcPr>
            <w:tcW w:type="dxa" w:w="3627"/>
            <w:vMerge w:val="restart"/>
          </w:tcPr>
          <w:p>
            <w:r>
              <w:drawing>
                <wp:inline xmlns:a="http://schemas.openxmlformats.org/drawingml/2006/main" xmlns:pic="http://schemas.openxmlformats.org/drawingml/2006/picture">
                  <wp:extent cx="540000" cy="521100"/>
                  <wp:docPr id="5" name="Picture 5"/>
                  <wp:cNvGraphicFramePr>
                    <a:graphicFrameLocks noChangeAspect="1"/>
                  </wp:cNvGraphicFramePr>
                  <a:graphic>
                    <a:graphicData uri="http://schemas.openxmlformats.org/drawingml/2006/picture">
                      <pic:pic>
                        <pic:nvPicPr>
                          <pic:cNvPr id="0" name="DC3_small_c5.png"/>
                          <pic:cNvPicPr/>
                        </pic:nvPicPr>
                        <pic:blipFill>
                          <a:blip r:embed="rId13"/>
                          <a:stretch>
                            <a:fillRect/>
                          </a:stretch>
                        </pic:blipFill>
                        <pic:spPr>
                          <a:xfrm>
                            <a:off x="0" y="0"/>
                            <a:ext cx="540000" cy="521100"/>
                          </a:xfrm>
                          <a:prstGeom prst="rect"/>
                        </pic:spPr>
                      </pic:pic>
                    </a:graphicData>
                  </a:graphic>
                </wp:inline>
              </w:drawing>
            </w:r>
          </w:p>
          <w:p>
            <w:r>
              <w:rPr>
                <w:rFonts w:ascii="Arial" w:hAnsi="Arial"/>
                <w:b/>
                <w:i w:val="0"/>
                <w:color w:val="E26B67"/>
                <w:sz w:val="22"/>
              </w:rPr>
              <w:t>5. PROBLEEMIDENTIFICATIE EN -OPLOSSING</w:t>
            </w:r>
          </w:p>
          <w:p>
            <w:r>
              <w:rPr>
                <w:rFonts w:ascii="Arial" w:hAnsi="Arial"/>
                <w:b w:val="0"/>
                <w:i w:val="0"/>
                <w:color w:val="000000"/>
                <w:sz w:val="22"/>
              </w:rPr>
              <w:t>Behoeften identificeren en beoordelen, en digitale technologieën gebruiken en digitale omgevingen aanpassen om aan deze behoeften te voldoen. Technische en conceptuele problemen en probleemsituaties in digitale omgevingen identificeren en oplossen. Digitale technologieën gebruiken om verbeteringen aan te brengen in, of nieuwe oplossingen te vinden voor, processen en producten. Bekwaamheden opbouwen om autonoom te functioneren in digitale omgevingen. Op de hoogte blijven van digitale technologische ontwikkelingen en de gevolgen daarvan.</w:t>
            </w:r>
          </w:p>
        </w:tc>
        <w:tc>
          <w:tcPr>
            <w:tcW w:type="dxa" w:w="3627"/>
          </w:tcPr>
          <w:p>
            <w:r>
              <w:rPr>
                <w:rFonts w:ascii="Arial" w:hAnsi="Arial"/>
                <w:b/>
                <w:i w:val="0"/>
                <w:color w:val="000000"/>
                <w:sz w:val="22"/>
              </w:rPr>
              <w:t>5.1 Technische problemen identificeren en oplossen</w:t>
            </w:r>
          </w:p>
        </w:tc>
        <w:tc>
          <w:tcPr>
            <w:tcW w:type="dxa" w:w="3627"/>
          </w:tcPr>
          <w:p>
            <w:r>
              <w:rPr>
                <w:rFonts w:ascii="Arial" w:hAnsi="Arial"/>
                <w:b w:val="0"/>
                <w:i w:val="0"/>
                <w:color w:val="000000"/>
                <w:sz w:val="22"/>
              </w:rPr>
              <w:t>Technische problemen identificeren bij het bedienen van digitale apparaten en in digitale omgevingen, en deze op verschillende manieren oplossen.</w:t>
            </w:r>
          </w:p>
        </w:tc>
      </w:tr>
      <w:tr>
        <w:tc>
          <w:tcPr>
            <w:tcW w:type="dxa" w:w="3627"/>
            <w:vMerge/>
          </w:tcPr>
          <w:p/>
        </w:tc>
        <w:tc>
          <w:tcPr>
            <w:tcW w:type="dxa" w:w="3627"/>
          </w:tcPr>
          <w:p>
            <w:r>
              <w:rPr>
                <w:rFonts w:ascii="Arial" w:hAnsi="Arial"/>
                <w:b/>
                <w:i w:val="0"/>
                <w:color w:val="000000"/>
                <w:sz w:val="22"/>
              </w:rPr>
              <w:t>5.2 Behoeften en digitale technologische antwoorden identificeren</w:t>
            </w:r>
          </w:p>
        </w:tc>
        <w:tc>
          <w:tcPr>
            <w:tcW w:type="dxa" w:w="3627"/>
          </w:tcPr>
          <w:p>
            <w:r>
              <w:rPr>
                <w:rFonts w:ascii="Arial" w:hAnsi="Arial"/>
                <w:b w:val="0"/>
                <w:i w:val="0"/>
                <w:color w:val="000000"/>
                <w:sz w:val="22"/>
              </w:rPr>
              <w:t>Behoeften van jezelf en anderen beoordelen en digitale technologieën evalueren, selecteren, gebruiken en aanpassen om aan deze behoeften te voldoen. Digitale omgevingen aanpassen en personaliseren aan de context, doelen en behoeften (bijv. toegankelijkheid) van jezelf en anderen.</w:t>
            </w:r>
          </w:p>
        </w:tc>
      </w:tr>
      <w:tr>
        <w:tc>
          <w:tcPr>
            <w:tcW w:type="dxa" w:w="3627"/>
            <w:vMerge/>
          </w:tcPr>
          <w:p/>
        </w:tc>
        <w:tc>
          <w:tcPr>
            <w:tcW w:type="dxa" w:w="3627"/>
          </w:tcPr>
          <w:p>
            <w:r>
              <w:rPr>
                <w:rFonts w:ascii="Arial" w:hAnsi="Arial"/>
                <w:b/>
                <w:i w:val="0"/>
                <w:color w:val="000000"/>
                <w:sz w:val="22"/>
              </w:rPr>
              <w:t>5.3 Creatieve oplossingen identificeren met behulp van digitale technologieën</w:t>
            </w:r>
          </w:p>
        </w:tc>
        <w:tc>
          <w:tcPr>
            <w:tcW w:type="dxa" w:w="3627"/>
          </w:tcPr>
          <w:p>
            <w:r>
              <w:rPr>
                <w:rFonts w:ascii="Arial" w:hAnsi="Arial"/>
                <w:b w:val="0"/>
                <w:i w:val="0"/>
                <w:color w:val="000000"/>
                <w:sz w:val="22"/>
              </w:rPr>
              <w:t>Digitale technologieën gebruiken om verbeteringen aan te brengen in of nieuwe oplossingen te vinden voor processen en producten, vanuit een mensgerichte benadering. Individueel en collectief deelnemen aan kritische denkprocessen en het creatief en doelgericht gebruik van digitale technologieën, om conceptuele problemen en probleemsituaties te begrijpen en op te lossen.</w:t>
            </w:r>
          </w:p>
        </w:tc>
      </w:tr>
      <w:tr>
        <w:tc>
          <w:tcPr>
            <w:tcW w:type="dxa" w:w="3627"/>
            <w:vMerge/>
          </w:tcPr>
          <w:p/>
        </w:tc>
        <w:tc>
          <w:tcPr>
            <w:tcW w:type="dxa" w:w="3627"/>
          </w:tcPr>
          <w:p>
            <w:r>
              <w:rPr>
                <w:rFonts w:ascii="Arial" w:hAnsi="Arial"/>
                <w:b/>
                <w:i w:val="0"/>
                <w:color w:val="000000"/>
                <w:sz w:val="22"/>
              </w:rPr>
              <w:t>5.4 Behoeften aan digitale competenties identificeren en aanpakken</w:t>
            </w:r>
          </w:p>
        </w:tc>
        <w:tc>
          <w:tcPr>
            <w:tcW w:type="dxa" w:w="3627"/>
          </w:tcPr>
          <w:p>
            <w:r>
              <w:rPr>
                <w:rFonts w:ascii="Arial" w:hAnsi="Arial"/>
                <w:b w:val="0"/>
                <w:i w:val="0"/>
                <w:color w:val="000000"/>
                <w:sz w:val="22"/>
              </w:rPr>
              <w:t>Herkennen waar de eigen digitale competentie verbeterd of geactualiseerd moet worden. Behoeften aan digitale competenties aanpakken binnen een breder proces van een leven lang leren, en bekwaamheid en autonomie opbouwen. Anderen ondersteunen bij de ontwikkeling van hun digitale competenties. Op de hoogte blijven van digitale technologische ontwikkelingen en de persoonlijke, professionele en maatschappelijke gevolgen daarvan.</w:t>
            </w:r>
          </w:p>
        </w:tc>
      </w:tr>
    </w:tbl>
    <w:sectPr w:rsidR="00FC693F" w:rsidRPr="0006063C" w:rsidSect="00034616">
      <w:pgSz w:w="12240" w:h="15840"/>
      <w:pgMar w:top="1440" w:right="680" w:bottom="144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