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E78"/>
          <w:sz w:val="36"/>
        </w:rPr>
        <w:t>LIST OF ACRONYMS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left w:val="nil"/>
          <w:right w:val="nil"/>
          <w:insideV w:val="nil"/>
          <w:top w:val="single" w:sz="4" w:space="0" w:color="D9D9D9"/>
          <w:bottom w:val="single" w:sz="4" w:space="0" w:color="D9D9D9"/>
          <w:insideH w:val="single" w:sz="4" w:space="0" w:color="D9D9D9"/>
        </w:tblBorders>
      </w:tblPr>
      <w:tblGrid>
        <w:gridCol w:w="1247"/>
        <w:gridCol w:w="3685"/>
        <w:gridCol w:w="1247"/>
        <w:gridCol w:w="3685"/>
      </w:tblGrid>
      <w:tr>
        <w:tc>
          <w:tcPr>
            <w:tcW w:type="dxa" w:w="1247"/>
            <w:vAlign w:val="top"/>
            <w:shd w:fill="1F4E78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ACRONYM</w:t>
            </w:r>
          </w:p>
        </w:tc>
        <w:tc>
          <w:tcPr>
            <w:tcW w:type="dxa" w:w="3685"/>
            <w:vAlign w:val="top"/>
            <w:shd w:fill="1F4E78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247"/>
            <w:vAlign w:val="top"/>
            <w:shd w:fill="1F4E78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ACRONYM</w:t>
            </w:r>
          </w:p>
        </w:tc>
        <w:tc>
          <w:tcPr>
            <w:tcW w:type="dxa" w:w="3685"/>
            <w:vAlign w:val="top"/>
            <w:shd w:fill="1F4E78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AGRI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Directorate-General for Agriculture and Rural Development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ITU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International Telecommunications Union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AI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Artificial Intelligence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JRC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Joint Research Centre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AR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Augmented Reality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JSON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JavaScript Object Notation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CNECT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Directorate-General for Communications Networks, Content and Technology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MR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Mixed Reality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DIGIT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Directorate-General for Digital Services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NQF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National Qualifications Framework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EAC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Directorate-General for Education, Youth, Sport and Culture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OECD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Organisation for Economic Cooperation and Development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EC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European Commission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OER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Open Educational Resources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EMPL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Directorate-General for Employment, Social Affairs and Inclusion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REFORM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Reform and Investment Task Force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EQF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European Qualifications Framework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SJ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Le Service juridique (Legal service of the European Commission)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ESTAT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Eurostat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STEM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Science, Technology, Engineering and Mathematics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EU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European Union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UN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United Nations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EUIPO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European Union Intellectual Property Office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UNESCO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United Nations Educational, Scientific and Cultural Organisation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GDPR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General Data Protection Regulation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VET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Vocational Education and Training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ICILS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International Computer and Information Literacy Study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VR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Virtual Reality</w:t>
            </w:r>
          </w:p>
        </w:tc>
      </w:tr>
      <w:tr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ICT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Information and Communications Technologies</w:t>
            </w:r>
          </w:p>
        </w:tc>
        <w:tc>
          <w:tcPr>
            <w:tcW w:type="dxa" w:w="1247"/>
            <w:vAlign w:val="top"/>
          </w:tcPr>
          <w:p>
            <w:r>
              <w:rPr>
                <w:rFonts w:ascii="Arial" w:hAnsi="Arial"/>
                <w:b/>
                <w:color w:val="000000"/>
                <w:sz w:val="18"/>
              </w:rPr>
              <w:t>XR</w:t>
            </w:r>
          </w:p>
        </w:tc>
        <w:tc>
          <w:tcPr>
            <w:tcW w:type="dxa" w:w="3685"/>
            <w:vAlign w:val="top"/>
          </w:tcPr>
          <w:p>
            <w:r>
              <w:rPr>
                <w:rFonts w:ascii="Arial" w:hAnsi="Arial"/>
                <w:b w:val="0"/>
                <w:color w:val="000000"/>
                <w:sz w:val="18"/>
              </w:rPr>
              <w:t>eXtended Reality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