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Лаба 1</w:t>
        <w:br w:type="textWrapping"/>
        <w:t xml:space="preserve">PCA и автоэнкодеры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Условие, описание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Код программы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Результаты тестирования</w:t>
        <w:br w:type="textWrapping"/>
        <w:t xml:space="preserve">4. Анализ результатов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Вывод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рамках данной работы необходимо реализовать PCA и автоэнкодер и сравнить время и качество их обучения.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Для выполнения работы можно использовать любой язык программирования и математические библиотеки. </w:t>
        <w:br w:type="textWrapping"/>
        <w:t xml:space="preserve">ML-библиотеки и ML-фреймворки можно использовать только для реализации автоэнкодера.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Варианты: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mushrooms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abanole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diabet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sonar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ionosphere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datasets/prashant111/ionosphere" TargetMode="External"/><Relationship Id="rId10" Type="http://schemas.openxmlformats.org/officeDocument/2006/relationships/hyperlink" Target="https://www.kaggle.com/code/edhenrivi/introduction-classification-sonar-dataset" TargetMode="External"/><Relationship Id="rId12" Type="http://schemas.openxmlformats.org/officeDocument/2006/relationships/hyperlink" Target="https://www.kaggle.com/datasets/dongeorge/seed-from-uci" TargetMode="External"/><Relationship Id="rId9" Type="http://schemas.openxmlformats.org/officeDocument/2006/relationships/hyperlink" Target="https://www.kaggle.com/datasets/uciml/pima-indians-diabetes-datab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uciml/mushroom-classification" TargetMode="External"/><Relationship Id="rId7" Type="http://schemas.openxmlformats.org/officeDocument/2006/relationships/hyperlink" Target="https://www.kaggle.com/datasets/rodolfomendes/abalone-dataset" TargetMode="External"/><Relationship Id="rId8" Type="http://schemas.openxmlformats.org/officeDocument/2006/relationships/hyperlink" Target="https://www.kaggle.com/datasets/yasserh/wine-quality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