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2</w:t>
        <w:br w:type="textWrapping"/>
        <w:t xml:space="preserve">Альтернативные методы обучения автоэнкодеров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реализовать и обучить автоэнкодер. В качестве алгоритмов оптимизации использовать правило Ойя, кумулятивное дельта правило.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выполнения работы можно использовать любой язык программирования и математические библиотеки. </w:t>
        <w:br w:type="textWrapping"/>
        <w:t xml:space="preserve">ML-библиотеки и ML-фреймворки можно использовать только для реализации автоэнкодера.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abanole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ionosphere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ode/edhenrivi/introduction-classification-sonar-dataset" TargetMode="External"/><Relationship Id="rId10" Type="http://schemas.openxmlformats.org/officeDocument/2006/relationships/hyperlink" Target="https://www.kaggle.com/datasets/uciml/pima-indians-diabetes-database" TargetMode="External"/><Relationship Id="rId12" Type="http://schemas.openxmlformats.org/officeDocument/2006/relationships/hyperlink" Target="https://www.kaggle.com/datasets/prashant111/ionosphere" TargetMode="External"/><Relationship Id="rId9" Type="http://schemas.openxmlformats.org/officeDocument/2006/relationships/hyperlink" Target="https://www.kaggle.com/datasets/yasserh/wine-quality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ongeorge/seed-from-uci" TargetMode="External"/><Relationship Id="rId7" Type="http://schemas.openxmlformats.org/officeDocument/2006/relationships/hyperlink" Target="https://www.kaggle.com/datasets/uciml/mushroom-classification" TargetMode="External"/><Relationship Id="rId8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