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Grievance Redressal Policy</w:t>
      </w:r>
    </w:p>
    <w:p>
      <w:pPr>
        <w:spacing w:lineRule="auto"/>
      </w:pPr>
      <w:r>
        <w:rPr/>
        <w:t xml:space="preserve">Policies  ·  HR  ·  Owner: Anjali Rao  ·  30 Jan 2026  ·  v1.0  ·  EN/TE/HI</w:t>
      </w:r>
    </w:p>
    <w:p>
      <w:pPr>
        <w:spacing w:lineRule="auto"/>
      </w:pPr>
      <w:r>
        <w:rPr/>
        <w:t xml:space="preserve">A three-stage, time-bound process for associates to raise and resolve workplace grievances.</w:t>
      </w:r>
    </w:p>
    <w:p>
      <w:pPr>
        <w:pStyle w:val="Heading4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To provide every associate a fair, accessible and time-bound mechanism to raise grievances relating to working conditions, wages, safety, or treatment, consistent with the Industrial Relations Code, 2020.</w:t>
      </w:r>
    </w:p>
    <w:p>
      <w:pPr>
        <w:pStyle w:val="Heading4"/>
        <w:spacing w:lineRule="auto"/>
      </w:pPr>
      <w:r>
        <w:rPr/>
        <w:t xml:space="preserve">2. Three-stage process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Stage 1 — Supervisor.</w:t>
      </w:r>
      <w:r>
        <w:rPr/>
        <w:t xml:space="preserve"> Raise the grievance verbally or via the app. Response within 48 hours.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Stage 2 — Department Head / HR.</w:t>
      </w:r>
      <w:r>
        <w:rPr/>
        <w:t xml:space="preserve"> If unresolved, escalate. Response within 7 working days.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Stage 3 — Grievance Redressal Committee.</w:t>
      </w:r>
      <w:r>
        <w:rPr/>
        <w:t xml:space="preserve"> Joint management–worker committee; decision within 30 days.</w:t>
      </w:r>
    </w:p>
    <w:p>
      <w:pPr>
        <w:pStyle w:val="Heading4"/>
        <w:spacing w:lineRule="auto"/>
      </w:pPr>
      <w:r>
        <w:rPr/>
        <w:t xml:space="preserve">3. What can be raised</w:t>
      </w:r>
    </w:p>
    <w:p>
      <w:pPr>
        <w:spacing w:lineRule="auto"/>
      </w:pPr>
      <w:r>
        <w:rPr/>
        <w:t xml:space="preserve">Wage or attendance disputes, unsafe conditions, harassment, denial of statutory benefits, transport issues, or unfair treatment. PoSH matters are routed to the Internal Committee.</w:t>
      </w:r>
    </w:p>
    <w:p>
      <w:pPr>
        <w:pStyle w:val="Heading4"/>
        <w:spacing w:lineRule="auto"/>
      </w:pPr>
      <w:r>
        <w:rPr/>
        <w:t xml:space="preserve">4. Principles</w:t>
      </w:r>
    </w:p>
    <w:p>
      <w:pPr>
        <w:numPr>
          <w:ilvl w:val="0"/>
          <w:numId w:val="2"/>
        </w:numPr>
        <w:spacing w:lineRule="auto"/>
      </w:pPr>
      <w:r>
        <w:rPr/>
        <w:t xml:space="preserve">No victimisation for raising a genuine grievance.</w:t>
      </w:r>
    </w:p>
    <w:p>
      <w:pPr>
        <w:numPr>
          <w:ilvl w:val="0"/>
          <w:numId w:val="2"/>
        </w:numPr>
        <w:spacing w:lineRule="auto"/>
      </w:pPr>
      <w:r>
        <w:rPr/>
        <w:t xml:space="preserve">Grievances may be raised in the associate’s preferred language.</w:t>
      </w:r>
    </w:p>
    <w:p>
      <w:pPr>
        <w:numPr>
          <w:ilvl w:val="0"/>
          <w:numId w:val="2"/>
        </w:numPr>
        <w:spacing w:lineRule="auto"/>
      </w:pPr>
      <w:r>
        <w:rPr/>
        <w:t xml:space="preserve">All stages are documented and auditable.</w:t>
      </w:r>
    </w:p>
    <w:p>
      <w:pPr>
        <w:pStyle w:val="Heading4"/>
        <w:spacing w:lineRule="auto"/>
      </w:pPr>
      <w:r>
        <w:rPr/>
        <w:t xml:space="preserve">5. Records</w:t>
      </w:r>
    </w:p>
    <w:p>
      <w:pPr>
        <w:spacing w:lineRule="auto"/>
      </w:pPr>
      <w:r>
        <w:rPr/>
        <w:t xml:space="preserve">Every grievance and its resolution is logged for statutory inspection and continuous improvement.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