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Lockout–Tagout (LOTO) Standard Operating Procedure</w:t>
      </w:r>
    </w:p>
    <w:p>
      <w:pPr>
        <w:spacing w:lineRule="auto"/>
      </w:pPr>
      <w:r>
        <w:rPr/>
        <w:t xml:space="preserve">Training materials  ·  EHS  ·  Owner: R. Karthik  ·  8 Apr 2026  ·  v1.0  ·  EN/TE/HI</w:t>
      </w:r>
    </w:p>
    <w:p>
      <w:pPr>
        <w:spacing w:lineRule="auto"/>
      </w:pPr>
      <w:r>
        <w:rPr/>
        <w:t xml:space="preserve">The six-step energy-isolation procedure to be followed before servicing any machine that can start unexpectedly.</w:t>
      </w:r>
    </w:p>
    <w:p>
      <w:pPr>
        <w:pStyle w:val="Heading4"/>
        <w:spacing w:lineRule="auto"/>
      </w:pPr>
      <w:r>
        <w:rPr/>
        <w:t xml:space="preserve">Why LOTO</w:t>
      </w:r>
    </w:p>
    <w:p>
      <w:pPr>
        <w:spacing w:lineRule="auto"/>
      </w:pPr>
      <w:r>
        <w:rPr/>
        <w:t xml:space="preserve">Lockout–Tagout prevents the accidental start-up or release of stored energy while a machine is being serviced. It is mandatory for any maintenance, cleaning, or clearing of a jam.</w:t>
      </w:r>
    </w:p>
    <w:p>
      <w:pPr>
        <w:pStyle w:val="Heading4"/>
        <w:spacing w:lineRule="auto"/>
      </w:pPr>
      <w:r>
        <w:rPr/>
        <w:t xml:space="preserve">The six steps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Prepare.</w:t>
      </w:r>
      <w:r>
        <w:rPr/>
        <w:t xml:space="preserve"> Identify all energy sources — electrical, pneumatic, hydraulic, mechanical, thermal.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Shut down.</w:t>
      </w:r>
      <w:r>
        <w:rPr/>
        <w:t xml:space="preserve"> Stop the equipment using the normal stopping procedure.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Isolate.</w:t>
      </w:r>
      <w:r>
        <w:rPr/>
        <w:t xml:space="preserve"> Operate the disconnect/valve to isolate each energy source.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Lock &amp; tag.</w:t>
      </w:r>
      <w:r>
        <w:rPr/>
        <w:t xml:space="preserve"> Apply your personal lock and a tag stating who, why and when.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Release stored energy.</w:t>
      </w:r>
      <w:r>
        <w:rPr/>
        <w:t xml:space="preserve"> Bleed pressure, discharge capacitors, block suspended parts.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Verify.</w:t>
      </w:r>
      <w:r>
        <w:rPr/>
        <w:t xml:space="preserve"> Attempt a normal start to confirm zero energy, then return controls to off.</w:t>
      </w:r>
    </w:p>
    <w:p>
      <w:pPr>
        <w:pStyle w:val="Heading4"/>
        <w:spacing w:lineRule="auto"/>
      </w:pPr>
      <w:r>
        <w:rPr/>
        <w:t xml:space="preserve">Group lockout</w:t>
      </w:r>
    </w:p>
    <w:p>
      <w:pPr>
        <w:spacing w:lineRule="auto"/>
      </w:pPr>
      <w:r>
        <w:rPr/>
        <w:t xml:space="preserve">When several people work on one machine, each applies their own lock to a group lockout box. The machine cannot be re-energised until the last lock is removed.</w:t>
      </w:r>
    </w:p>
    <w:p>
      <w:pPr>
        <w:pStyle w:val="Heading4"/>
        <w:spacing w:lineRule="auto"/>
      </w:pPr>
      <w:r>
        <w:rPr/>
        <w:t xml:space="preserve">Golden rules</w:t>
      </w:r>
    </w:p>
    <w:p>
      <w:pPr>
        <w:numPr>
          <w:ilvl w:val="0"/>
          <w:numId w:val="2"/>
        </w:numPr>
        <w:spacing w:lineRule="auto"/>
      </w:pPr>
      <w:r>
        <w:rPr/>
        <w:t xml:space="preserve">One lock, one key, one person — never share or remove another's lock.</w:t>
      </w:r>
    </w:p>
    <w:p>
      <w:pPr>
        <w:numPr>
          <w:ilvl w:val="0"/>
          <w:numId w:val="2"/>
        </w:numPr>
        <w:spacing w:lineRule="auto"/>
      </w:pPr>
      <w:r>
        <w:rPr/>
        <w:t xml:space="preserve">If in doubt, do not proceed; call your supervisor.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