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QGIS + PostGIS: erros silenciosos que ninguém avisa</w:t>
      </w:r>
    </w:p>
    <w:p>
      <w:pPr/>
      <w:r>
        <w:t xml:space="preserve">Sep 22, 2026</w:t>
      </w:r>
      <w:r>
        <w:t xml:space="preserve"> · </w:t>
      </w:r>
      <w:r>
        <w:t xml:space="preserve">@Someone</w:t>
      </w:r>
    </w:p>
    <w:p>
      <w:pPr>
        <w:pStyle w:val="Heading2"/>
      </w:pPr>
      <w:r>
        <w:t xml:space="preserve">Por que esta apostila existe</w:t>
      </w:r>
    </w:p>
    <w:p>
      <w:pPr/>
      <w:r>
        <w:t xml:space="preserve">A maioria dos problemas em projetos de geoprocessamento não aparece como mensagem de erro. Aparece como um filtro que retorna zero linhas, um join que não casa, um mapa deslocado 60 metros ou uma consulta que ordena "errado". A causa quase sempre é um detalhe pequeno: um acento, um espaço no fim do texto, uma letra maiúscula, um nome de pasta longo demais.</w:t>
      </w:r>
    </w:p>
    <w:p>
      <w:pPr/>
      <w:r>
        <w:t xml:space="preserve">Esta apostila lista essas armadilhas em quatro lugares — o shapefile, os nomes no PostGIS, os dados dentro do PostGIS e o Windows — e termina com um exercício onde todas elas aparecem de uma vez.</w:t>
      </w:r>
    </w:p>
    <w:p>
      <w:pPr/>
      <w:r>
        <w:t xml:space="preserve">Regra geral que resolve 80% dos casos: </w:t>
      </w:r>
      <w:r>
        <w:rPr>
          <w:b/>
        </w:rPr>
        <w:t xml:space="preserve">nomes de tabela, coluna, arquivo e pasta em minúsculas, sem acento, sem espaço, usando </w:t>
      </w:r>
      <w:r>
        <w:rPr>
          <w:rStyle w:val="CodeChar"/>
          <w:b/>
        </w:rPr>
        <w:t xml:space="preserve">_</w:t>
      </w:r>
      <w:r>
        <w:t xml:space="preserve"> (snake_case), e caminhos curtos como </w:t>
      </w:r>
      <w:r>
        <w:rPr>
          <w:rStyle w:val="CodeChar"/>
        </w:rPr>
        <w:t xml:space="preserve">C:\gis\projeto\</w:t>
      </w:r>
      <w:r>
        <w:t xml:space="preserve">.</w:t>
      </w:r>
    </w:p>
    <w:p>
      <w:pPr>
        <w:pStyle w:val="Heading2"/>
      </w:pPr>
      <w:r>
        <w:t xml:space="preserve">Shapefile: o que o formato perde sem avisar</w:t>
      </w:r>
    </w:p>
    <w:p>
      <w:pPr/>
      <w:r>
        <w:t xml:space="preserve">O shapefile é de 1998 e guarda os atributos num arquivo DBF. Cada limite do DBF vira uma perda silenciosa na exportação.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Limite</w:t>
            </w:r>
          </w:p>
        </w:tc>
        <w:tc>
          <w:tcPr>
            <w:tcW w:w="3120" w:type="dxa"/>
            <w:shd w:val="clear" w:color="auto" w:fill="F2F2F2"/>
          </w:tcPr>
          <w:p>
            <w:pPr/>
            <w:r>
              <w:t xml:space="preserve">O que acontece</w:t>
            </w:r>
          </w:p>
        </w:tc>
        <w:tc>
          <w:tcPr>
            <w:tcW w:w="3120" w:type="dxa"/>
            <w:shd w:val="clear" w:color="auto" w:fill="F2F2F2"/>
          </w:tcPr>
          <w:p>
            <w:pPr/>
            <w:r>
              <w:t xml:space="preserve">Como perceber</w:t>
            </w:r>
          </w:p>
        </w:tc>
      </w:tr>
      <w:tr>
        <w:tc>
          <w:tcPr>
            <w:tcW w:w="3120" w:type="dxa"/>
          </w:tcPr>
          <w:p>
            <w:pPr/>
            <w:r>
              <w:t xml:space="preserve">Nome de campo: 10 caracteres</w:t>
            </w:r>
          </w:p>
        </w:tc>
        <w:tc>
          <w:tcPr>
            <w:tcW w:w="3120" w:type="dxa"/>
          </w:tcPr>
          <w:p>
            <w:pPr/>
            <w:r>
              <w:rPr>
                <w:rStyle w:val="CodeChar"/>
              </w:rPr>
              <w:t xml:space="preserve">nome_completo</w:t>
            </w:r>
            <w:r>
              <w:t xml:space="preserve"> vira </w:t>
            </w:r>
            <w:r>
              <w:rPr>
                <w:rStyle w:val="CodeChar"/>
              </w:rPr>
              <w:t xml:space="preserve">nome_compl</w:t>
            </w:r>
            <w:r>
              <w:t xml:space="preserve">; dois campos com o mesmo início viram </w:t>
            </w:r>
            <w:r>
              <w:rPr>
                <w:rStyle w:val="CodeChar"/>
              </w:rPr>
              <w:t xml:space="preserve">nome_com_1</w:t>
            </w:r>
            <w:r>
              <w:t xml:space="preserve">, </w:t>
            </w:r>
            <w:r>
              <w:rPr>
                <w:rStyle w:val="CodeChar"/>
              </w:rPr>
              <w:t xml:space="preserve">nome_com_2</w:t>
            </w:r>
          </w:p>
        </w:tc>
        <w:tc>
          <w:tcPr>
            <w:tcW w:w="3120" w:type="dxa"/>
          </w:tcPr>
          <w:p>
            <w:pPr/>
            <w:r>
              <w:t xml:space="preserve">Join por nome de campo não casa; o QGIS avisa uma vez, no export</w:t>
            </w:r>
          </w:p>
        </w:tc>
      </w:tr>
      <w:tr>
        <w:tc>
          <w:tcPr>
            <w:tcW w:w="3120" w:type="dxa"/>
          </w:tcPr>
          <w:p>
            <w:pPr/>
            <w:r>
              <w:t xml:space="preserve">Texto: 254 caracteres</w:t>
            </w:r>
          </w:p>
        </w:tc>
        <w:tc>
          <w:tcPr>
            <w:tcW w:w="3120" w:type="dxa"/>
          </w:tcPr>
          <w:p>
            <w:pPr/>
            <w:r>
              <w:t xml:space="preserve">Endereços e observações longas são cortados</w:t>
            </w:r>
          </w:p>
        </w:tc>
        <w:tc>
          <w:tcPr>
            <w:tcW w:w="3120" w:type="dxa"/>
          </w:tcPr>
          <w:p>
            <w:pPr/>
            <w:r>
              <w:rPr>
                <w:rStyle w:val="CodeChar"/>
              </w:rPr>
              <w:t xml:space="preserve">length()</w:t>
            </w:r>
            <w:r>
              <w:t xml:space="preserve"> no PostGIS depois do import</w:t>
            </w:r>
          </w:p>
        </w:tc>
      </w:tr>
      <w:tr>
        <w:tc>
          <w:tcPr>
            <w:tcW w:w="3120" w:type="dxa"/>
          </w:tcPr>
          <w:p>
            <w:pPr/>
            <w:r>
              <w:t xml:space="preserve">Sem NULL</w:t>
            </w:r>
          </w:p>
        </w:tc>
        <w:tc>
          <w:tcPr>
            <w:tcW w:w="3120" w:type="dxa"/>
          </w:tcPr>
          <w:p>
            <w:pPr/>
            <w:r>
              <w:t xml:space="preserve">Texto vazio vira </w:t>
            </w:r>
            <w:r>
              <w:rPr>
                <w:rStyle w:val="CodeChar"/>
              </w:rPr>
              <w:t xml:space="preserve">''</w:t>
            </w:r>
            <w:r>
              <w:t xml:space="preserve">; número vazio vira NULL no OGR/QGIS, mas 0 no Excel/LibreOffice</w:t>
            </w:r>
          </w:p>
        </w:tc>
        <w:tc>
          <w:tcPr>
            <w:tcW w:w="3120" w:type="dxa"/>
          </w:tcPr>
          <w:p>
            <w:pPr/>
            <w:r>
              <w:rPr>
                <w:rStyle w:val="CodeChar"/>
              </w:rPr>
              <w:t xml:space="preserve">WHERE campo IS NULL</w:t>
            </w:r>
            <w:r>
              <w:t xml:space="preserve"> não acha nada</w:t>
            </w:r>
          </w:p>
        </w:tc>
      </w:tr>
      <w:tr>
        <w:tc>
          <w:tcPr>
            <w:tcW w:w="3120" w:type="dxa"/>
          </w:tcPr>
          <w:p>
            <w:pPr/>
            <w:r>
              <w:t xml:space="preserve">Sem booleano, sem data+hora</w:t>
            </w:r>
          </w:p>
        </w:tc>
        <w:tc>
          <w:tcPr>
            <w:tcW w:w="3120" w:type="dxa"/>
          </w:tcPr>
          <w:p>
            <w:pPr/>
            <w:r>
              <w:rPr>
                <w:rStyle w:val="CodeChar"/>
              </w:rPr>
              <w:t xml:space="preserve">true/false</w:t>
            </w:r>
            <w:r>
              <w:t xml:space="preserve"> vira </w:t>
            </w:r>
            <w:r>
              <w:rPr>
                <w:rStyle w:val="CodeChar"/>
              </w:rPr>
              <w:t xml:space="preserve">1/0</w:t>
            </w:r>
            <w:r>
              <w:t xml:space="preserve"> ou texto; hora é descartada</w:t>
            </w:r>
          </w:p>
        </w:tc>
        <w:tc>
          <w:tcPr>
            <w:tcW w:w="3120" w:type="dxa"/>
          </w:tcPr>
          <w:p>
            <w:pPr/>
            <w:r>
              <w:t xml:space="preserve">Campo </w:t>
            </w:r>
            <w:r>
              <w:rPr>
                <w:rStyle w:val="CodeChar"/>
              </w:rPr>
              <w:t xml:space="preserve">data_hora</w:t>
            </w:r>
            <w:r>
              <w:t xml:space="preserve"> chega só com a data</w:t>
            </w:r>
          </w:p>
        </w:tc>
      </w:tr>
      <w:tr>
        <w:tc>
          <w:tcPr>
            <w:tcW w:w="3120" w:type="dxa"/>
          </w:tcPr>
          <w:p>
            <w:pPr/>
            <w:r>
              <w:t xml:space="preserve">Sem inteiro 64 bits (leitores antigos)</w:t>
            </w:r>
          </w:p>
        </w:tc>
        <w:tc>
          <w:tcPr>
            <w:tcW w:w="3120" w:type="dxa"/>
          </w:tcPr>
          <w:p>
            <w:pPr/>
            <w:r>
              <w:t xml:space="preserve">Códigos IBGE grandes viram </w:t>
            </w:r>
            <w:r>
              <w:rPr>
                <w:rStyle w:val="CodeChar"/>
              </w:rPr>
              <w:t xml:space="preserve">double</w:t>
            </w:r>
            <w:r>
              <w:t xml:space="preserve"> e perdem precisão</w:t>
            </w:r>
          </w:p>
        </w:tc>
        <w:tc>
          <w:tcPr>
            <w:tcW w:w="3120" w:type="dxa"/>
          </w:tcPr>
          <w:p>
            <w:pPr/>
            <w:r>
              <w:t xml:space="preserve">Valor termina em </w:t>
            </w:r>
            <w:r>
              <w:rPr>
                <w:rStyle w:val="CodeChar"/>
              </w:rPr>
              <w:t xml:space="preserve">...000</w:t>
            </w:r>
            <w:r>
              <w:t xml:space="preserve"> ou </w:t>
            </w:r>
            <w:r>
              <w:rPr>
                <w:rStyle w:val="CodeChar"/>
              </w:rPr>
              <w:t xml:space="preserve">.0</w:t>
            </w:r>
          </w:p>
        </w:tc>
      </w:tr>
      <w:tr>
        <w:tc>
          <w:tcPr>
            <w:tcW w:w="3120" w:type="dxa"/>
          </w:tcPr>
          <w:p>
            <w:pPr/>
            <w:r>
              <w:t xml:space="preserve">Codificação no </w:t>
            </w:r>
            <w:r>
              <w:rPr>
                <w:rStyle w:val="CodeChar"/>
              </w:rPr>
              <w:t xml:space="preserve">.cpg</w:t>
            </w:r>
          </w:p>
        </w:tc>
        <w:tc>
          <w:tcPr>
            <w:tcW w:w="3120" w:type="dxa"/>
          </w:tcPr>
          <w:p>
            <w:pPr/>
            <w:r>
              <w:t xml:space="preserve">Sem o </w:t>
            </w:r>
            <w:r>
              <w:rPr>
                <w:rStyle w:val="CodeChar"/>
              </w:rPr>
              <w:t xml:space="preserve">.cpg</w:t>
            </w:r>
            <w:r>
              <w:t xml:space="preserve">, o QGIS adivinha (System ou Latin-1)</w:t>
            </w:r>
          </w:p>
        </w:tc>
        <w:tc>
          <w:tcPr>
            <w:tcW w:w="3120" w:type="dxa"/>
          </w:tcPr>
          <w:p>
            <w:pPr/>
            <w:r>
              <w:rPr>
                <w:rStyle w:val="CodeChar"/>
              </w:rPr>
              <w:t xml:space="preserve">SÃ£o JosÃ©</w:t>
            </w:r>
            <w:r>
              <w:t xml:space="preserve">, </w:t>
            </w:r>
            <w:r>
              <w:rPr>
                <w:rStyle w:val="CodeChar"/>
              </w:rPr>
              <w:t xml:space="preserve">S�o Jos�</w:t>
            </w:r>
            <w:r>
              <w:t xml:space="preserve">; filtro por nome acentuado retorna zero</w:t>
            </w:r>
          </w:p>
        </w:tc>
      </w:tr>
      <w:tr>
        <w:tc>
          <w:tcPr>
            <w:tcW w:w="3120" w:type="dxa"/>
          </w:tcPr>
          <w:p>
            <w:pPr/>
            <w:r>
              <w:t xml:space="preserve">Não distingue Polygon de MultiPolygon</w:t>
            </w:r>
          </w:p>
        </w:tc>
        <w:tc>
          <w:tcPr>
            <w:tcW w:w="3120" w:type="dxa"/>
          </w:tcPr>
          <w:p>
            <w:pPr/>
            <w:r>
              <w:t xml:space="preserve">Import numa coluna </w:t>
            </w:r>
            <w:r>
              <w:rPr>
                <w:rStyle w:val="CodeChar"/>
              </w:rPr>
              <w:t xml:space="preserve">MultiPolygon</w:t>
            </w:r>
            <w:r>
              <w:t xml:space="preserve"> falha; numa coluna </w:t>
            </w:r>
            <w:r>
              <w:rPr>
                <w:rStyle w:val="CodeChar"/>
              </w:rPr>
              <w:t xml:space="preserve">geometry</w:t>
            </w:r>
            <w:r>
              <w:t xml:space="preserve"> genérica entram tipos misturados</w:t>
            </w:r>
          </w:p>
        </w:tc>
        <w:tc>
          <w:tcPr>
            <w:tcW w:w="3120" w:type="dxa"/>
          </w:tcPr>
          <w:p>
            <w:pPr/>
            <w:r>
              <w:t xml:space="preserve">Marcar </w:t>
            </w:r>
            <w:r>
              <w:rPr>
                <w:i/>
              </w:rPr>
              <w:t xml:space="preserve">Promover para multipartes</w:t>
            </w:r>
            <w:r>
              <w:t xml:space="preserve"> no import</w:t>
            </w:r>
          </w:p>
        </w:tc>
      </w:tr>
      <w:tr>
        <w:tc>
          <w:tcPr>
            <w:tcW w:w="3120" w:type="dxa"/>
          </w:tcPr>
          <w:p>
            <w:pPr/>
            <w:r>
              <w:rPr>
                <w:rStyle w:val="CodeChar"/>
              </w:rPr>
              <w:t xml:space="preserve">.prj</w:t>
            </w:r>
            <w:r>
              <w:t xml:space="preserve"> ausente ou fora do padrão</w:t>
            </w:r>
          </w:p>
        </w:tc>
        <w:tc>
          <w:tcPr>
            <w:tcW w:w="3120" w:type="dxa"/>
          </w:tcPr>
          <w:p>
            <w:pPr/>
            <w:r>
              <w:t xml:space="preserve">O QGIS assume um CRS ou pergunta; clicar OK sem ler abre em WGS84</w:t>
            </w:r>
          </w:p>
        </w:tc>
        <w:tc>
          <w:tcPr>
            <w:tcW w:w="3120" w:type="dxa"/>
          </w:tcPr>
          <w:p>
            <w:pPr/>
            <w:r>
              <w:t xml:space="preserve">Áreas e distâncias erradas; ver seção SRID</w:t>
            </w:r>
          </w:p>
        </w:tc>
      </w:tr>
      <w:tr>
        <w:tc>
          <w:tcPr>
            <w:tcW w:w="3120" w:type="dxa"/>
          </w:tcPr>
          <w:p>
            <w:pPr/>
            <w:r>
              <w:t xml:space="preserve">2 GB por arquivo</w:t>
            </w:r>
          </w:p>
        </w:tc>
        <w:tc>
          <w:tcPr>
            <w:tcW w:w="3120" w:type="dxa"/>
          </w:tcPr>
          <w:p>
            <w:pPr/>
            <w:r>
              <w:t xml:space="preserve">Export grande termina com arquivo truncado</w:t>
            </w:r>
          </w:p>
        </w:tc>
        <w:tc>
          <w:tcPr>
            <w:tcW w:w="3120" w:type="dxa"/>
          </w:tcPr>
          <w:p>
            <w:pPr/>
            <w:r>
              <w:t xml:space="preserve">Contagem de feições menor que a origem</w:t>
            </w:r>
          </w:p>
        </w:tc>
      </w:tr>
      <w:tr>
        <w:tc>
          <w:tcPr>
            <w:tcW w:w="3120" w:type="dxa"/>
          </w:tcPr>
          <w:p>
            <w:pPr/>
            <w:r>
              <w:t xml:space="preserve">3+ arquivos obrigatórios</w:t>
            </w:r>
          </w:p>
        </w:tc>
        <w:tc>
          <w:tcPr>
            <w:tcW w:w="3120" w:type="dxa"/>
          </w:tcPr>
          <w:p>
            <w:pPr/>
            <w:r>
              <w:t xml:space="preserve">Enviar só o </w:t>
            </w:r>
            <w:r>
              <w:rPr>
                <w:rStyle w:val="CodeChar"/>
              </w:rPr>
              <w:t xml:space="preserve">.shp</w:t>
            </w:r>
            <w:r>
              <w:t xml:space="preserve"> = camada sem atributos ou sem abrir</w:t>
            </w:r>
          </w:p>
        </w:tc>
        <w:tc>
          <w:tcPr>
            <w:tcW w:w="3120" w:type="dxa"/>
          </w:tcPr>
          <w:p>
            <w:pPr/>
            <w:r>
              <w:rPr>
                <w:rStyle w:val="CodeChar"/>
              </w:rPr>
              <w:t xml:space="preserve">.shp</w:t>
            </w:r>
            <w:r>
              <w:t xml:space="preserve"> + </w:t>
            </w:r>
            <w:r>
              <w:rPr>
                <w:rStyle w:val="CodeChar"/>
              </w:rPr>
              <w:t xml:space="preserve">.shx</w:t>
            </w:r>
            <w:r>
              <w:t xml:space="preserve"> + </w:t>
            </w:r>
            <w:r>
              <w:rPr>
                <w:rStyle w:val="CodeChar"/>
              </w:rPr>
              <w:t xml:space="preserve">.dbf</w:t>
            </w:r>
            <w:r>
              <w:t xml:space="preserve"> (+ </w:t>
            </w:r>
            <w:r>
              <w:rPr>
                <w:rStyle w:val="CodeChar"/>
              </w:rPr>
              <w:t xml:space="preserve">.prj</w:t>
            </w:r>
            <w:r>
              <w:t xml:space="preserve"> + </w:t>
            </w:r>
            <w:r>
              <w:rPr>
                <w:rStyle w:val="CodeChar"/>
              </w:rPr>
              <w:t xml:space="preserve">.cpg</w:t>
            </w:r>
            <w:r>
              <w:t xml:space="preserve">) sempre juntos</w:t>
            </w:r>
          </w:p>
        </w:tc>
      </w:tr>
    </w:tbl>
    <w:p>
      <w:pPr/>
      <w:r>
        <w:t xml:space="preserve">O mais traiçoeiro é o encoding: a tabela de atributos às vezes </w:t>
      </w:r>
      <w:r>
        <w:rPr>
          <w:b/>
        </w:rPr>
        <w:t xml:space="preserve">mostra</w:t>
      </w:r>
      <w:r>
        <w:t xml:space="preserve"> o acento certo e mesmo assim o filtro </w:t>
      </w:r>
      <w:r>
        <w:rPr>
          <w:rStyle w:val="CodeChar"/>
        </w:rPr>
        <w:t xml:space="preserve">"nome" = 'São José'</w:t>
      </w:r>
      <w:r>
        <w:t xml:space="preserve"> retorna zero linhas, porque o texto na memória é outro. Teste rápido: </w:t>
      </w:r>
      <w:r>
        <w:rPr>
          <w:rStyle w:val="CodeChar"/>
        </w:rPr>
        <w:t xml:space="preserve">length("nome")</w:t>
      </w:r>
      <w:r>
        <w:t xml:space="preserve"> — </w:t>
      </w:r>
      <w:r>
        <w:rPr>
          <w:rStyle w:val="CodeChar"/>
        </w:rPr>
        <w:t xml:space="preserve">São José</w:t>
      </w:r>
      <w:r>
        <w:t xml:space="preserve"> tem 8 caracteres; a versão corrompida tem 10 ou mais.</w:t>
      </w:r>
    </w:p>
    <w:p>
      <w:pPr/>
      <w:r>
        <w:t xml:space="preserve">Alternativa moderna: </w:t>
      </w:r>
      <w:r>
        <w:rPr>
          <w:b/>
        </w:rPr>
        <w:t xml:space="preserve">GeoPackage</w:t>
      </w:r>
      <w:r>
        <w:t xml:space="preserve"> (</w:t>
      </w:r>
      <w:r>
        <w:rPr>
          <w:rStyle w:val="CodeChar"/>
        </w:rPr>
        <w:t xml:space="preserve">.gpkg</w:t>
      </w:r>
      <w:r>
        <w:t xml:space="preserve">) não tem nenhum desses limites, é um arquivo só, e o QGIS o usa como padrão desde a versão 3.</w:t>
      </w:r>
    </w:p>
    <w:p>
      <w:pPr>
        <w:pStyle w:val="Heading2"/>
      </w:pPr>
      <w:r>
        <w:t xml:space="preserve">PostGIS: maiúsculas, aspas, espaços e acentos nos nomes</w:t>
      </w:r>
    </w:p>
    <w:p>
      <w:pPr/>
      <w:r>
        <w:t xml:space="preserve">O PostgreSQL converte para minúsculas todo nome escrito </w:t>
      </w:r>
      <w:r>
        <w:rPr>
          <w:b/>
        </w:rPr>
        <w:t xml:space="preserve">sem aspas duplas</w:t>
      </w:r>
      <w:r>
        <w:t xml:space="preserve">. Com aspas duplas, ele preserva exatamente o que foi digitado — caixa, espaço e acento — e a partir daí todo SQL, view, trigger, model do Laravel e camada do GeoServer precisa das aspas para sempre.</w:t>
      </w:r>
    </w:p>
    <w:p>
      <w:pPr>
        <w:pStyle w:val="Code"/>
      </w:pPr>
      <w:bookmarkStart w:id="1" w:name="bongo_lang_sql_1"/>
      <w:bookmarkEnd w:id="1"/>
      <w:r>
        <w:t xml:space="preserve">CREATE TABLE Bairros (Nome_Bairro text);       -- cria bairros / nome_bairro</w:t>
        <w:br/>
        <w:t xml:space="preserve">CREATE TABLE "Bairros" ("Nome Bairro" text);   -- cria Bairros / Nome Bairro (outra tabela!)</w:t>
        <w:br/>
        <w:br/>
        <w:t xml:space="preserve">SELECT * FROM bairros;                 -- lê a primeira</w:t>
        <w:br/>
        <w:t xml:space="preserve">SELECT * FROM Bairros;                 -- também a primeira (sem aspas = minúsculo)</w:t>
        <w:br/>
        <w:t xml:space="preserve">SELECT * FROM "Bairros";               -- lê a segunda</w:t>
        <w:br/>
        <w:t xml:space="preserve">SELECT nome_bairro FROM "Bairros";     -- ERRO: column "nome_bairro" does not exist</w:t>
        <w:br/>
        <w:t xml:space="preserve">SELECT "Nome Bairro" FROM "Bairros";   -- funciona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Armadilha</w:t>
            </w:r>
          </w:p>
        </w:tc>
        <w:tc>
          <w:tcPr>
            <w:tcW w:w="3120" w:type="dxa"/>
            <w:shd w:val="clear" w:color="auto" w:fill="F2F2F2"/>
          </w:tcPr>
          <w:p>
            <w:pPr/>
            <w:r>
              <w:t xml:space="preserve">Comportamento</w:t>
            </w:r>
          </w:p>
        </w:tc>
        <w:tc>
          <w:tcPr>
            <w:tcW w:w="3120" w:type="dxa"/>
            <w:shd w:val="clear" w:color="auto" w:fill="F2F2F2"/>
          </w:tcPr>
          <w:p>
            <w:pPr/>
            <w:r>
              <w:t xml:space="preserve">Regra</w:t>
            </w:r>
          </w:p>
        </w:tc>
      </w:tr>
      <w:tr>
        <w:tc>
          <w:tcPr>
            <w:tcW w:w="3120" w:type="dxa"/>
          </w:tcPr>
          <w:p>
            <w:pPr/>
            <w:r>
              <w:t xml:space="preserve">Aspas simples × duplas</w:t>
            </w:r>
          </w:p>
        </w:tc>
        <w:tc>
          <w:tcPr>
            <w:tcW w:w="3120" w:type="dxa"/>
          </w:tcPr>
          <w:p>
            <w:pPr/>
            <w:r>
              <w:rPr>
                <w:rStyle w:val="CodeChar"/>
              </w:rPr>
              <w:t xml:space="preserve">'nome'</w:t>
            </w:r>
            <w:r>
              <w:t xml:space="preserve"> é texto; </w:t>
            </w:r>
            <w:r>
              <w:rPr>
                <w:rStyle w:val="CodeChar"/>
              </w:rPr>
              <w:t xml:space="preserve">"nome"</w:t>
            </w:r>
            <w:r>
              <w:t xml:space="preserve"> é coluna. </w:t>
            </w:r>
            <w:r>
              <w:rPr>
                <w:rStyle w:val="CodeChar"/>
              </w:rPr>
              <w:t xml:space="preserve">WHERE "nome" = "Toledo"</w:t>
            </w:r>
            <w:r>
              <w:t xml:space="preserve"> dá </w:t>
            </w:r>
            <w:r>
              <w:rPr>
                <w:i/>
              </w:rPr>
              <w:t xml:space="preserve">column "Toledo" does not exist</w:t>
            </w:r>
          </w:p>
        </w:tc>
        <w:tc>
          <w:tcPr>
            <w:tcW w:w="3120" w:type="dxa"/>
          </w:tcPr>
          <w:p>
            <w:pPr/>
            <w:r>
              <w:t xml:space="preserve">Texto sempre entre aspas simples</w:t>
            </w:r>
          </w:p>
        </w:tc>
      </w:tr>
      <w:tr>
        <w:tc>
          <w:tcPr>
            <w:tcW w:w="3120" w:type="dxa"/>
          </w:tcPr>
          <w:p>
            <w:pPr/>
            <w:r>
              <w:t xml:space="preserve">Opção do QGIS </w:t>
            </w:r>
            <w:r>
              <w:rPr>
                <w:i/>
              </w:rPr>
              <w:t xml:space="preserve">Converter nomes de campo para minúsculas</w:t>
            </w:r>
          </w:p>
        </w:tc>
        <w:tc>
          <w:tcPr>
            <w:tcW w:w="3120" w:type="dxa"/>
          </w:tcPr>
          <w:p>
            <w:pPr/>
            <w:r>
              <w:t xml:space="preserve">Desmarcada, </w:t>
            </w:r>
            <w:r>
              <w:rPr>
                <w:rStyle w:val="CodeChar"/>
              </w:rPr>
              <w:t xml:space="preserve">NOME_BAIRRO</w:t>
            </w:r>
            <w:r>
              <w:t xml:space="preserve"> e </w:t>
            </w:r>
            <w:r>
              <w:rPr>
                <w:rStyle w:val="CodeChar"/>
              </w:rPr>
              <w:t xml:space="preserve">Área m²</w:t>
            </w:r>
            <w:r>
              <w:t xml:space="preserve"> viram colunas entre aspas</w:t>
            </w:r>
          </w:p>
        </w:tc>
        <w:tc>
          <w:tcPr>
            <w:tcW w:w="3120" w:type="dxa"/>
          </w:tcPr>
          <w:p>
            <w:pPr/>
            <w:r>
              <w:t xml:space="preserve">Deixar marcada</w:t>
            </w:r>
          </w:p>
        </w:tc>
      </w:tr>
      <w:tr>
        <w:tc>
          <w:tcPr>
            <w:tcW w:w="3120" w:type="dxa"/>
          </w:tcPr>
          <w:p>
            <w:pPr/>
            <w:r>
              <w:t xml:space="preserve">Limite de 63 bytes por nome</w:t>
            </w:r>
          </w:p>
        </w:tc>
        <w:tc>
          <w:tcPr>
            <w:tcW w:w="3120" w:type="dxa"/>
          </w:tcPr>
          <w:p>
            <w:pPr/>
            <w:r>
              <w:t xml:space="preserve">O PostgreSQL </w:t>
            </w:r>
            <w:r>
              <w:rPr>
                <w:b/>
              </w:rPr>
              <w:t xml:space="preserve">trunca e só emite NOTICE</w:t>
            </w:r>
            <w:r>
              <w:t xml:space="preserve">, não erro. Acento em UTF-8 ocupa 2 bytes, então cabe menos</w:t>
            </w:r>
          </w:p>
        </w:tc>
        <w:tc>
          <w:tcPr>
            <w:tcW w:w="3120" w:type="dxa"/>
          </w:tcPr>
          <w:p>
            <w:pPr/>
            <w:r>
              <w:t xml:space="preserve">Nomes curtos, sem acento</w:t>
            </w:r>
          </w:p>
        </w:tc>
      </w:tr>
      <w:tr>
        <w:tc>
          <w:tcPr>
            <w:tcW w:w="3120" w:type="dxa"/>
          </w:tcPr>
          <w:p>
            <w:pPr/>
            <w:r>
              <w:t xml:space="preserve">Duas colunas longas com o mesmo início</w:t>
            </w:r>
          </w:p>
        </w:tc>
        <w:tc>
          <w:tcPr>
            <w:tcW w:w="3120" w:type="dxa"/>
          </w:tcPr>
          <w:p>
            <w:pPr/>
            <w:r>
              <w:t xml:space="preserve">Truncam para o mesmo nome → </w:t>
            </w:r>
            <w:r>
              <w:rPr>
                <w:i/>
              </w:rPr>
              <w:t xml:space="preserve">column already exists</w:t>
            </w:r>
          </w:p>
        </w:tc>
        <w:tc>
          <w:tcPr>
            <w:tcW w:w="3120" w:type="dxa"/>
          </w:tcPr>
          <w:p>
            <w:pPr/>
            <w:r>
              <w:t xml:space="preserve">Idem</w:t>
            </w:r>
          </w:p>
        </w:tc>
      </w:tr>
      <w:tr>
        <w:tc>
          <w:tcPr>
            <w:tcW w:w="3120" w:type="dxa"/>
          </w:tcPr>
          <w:p>
            <w:pPr/>
            <w:r>
              <w:t xml:space="preserve">Palavras reservadas</w:t>
            </w:r>
          </w:p>
        </w:tc>
        <w:tc>
          <w:tcPr>
            <w:tcW w:w="3120" w:type="dxa"/>
          </w:tcPr>
          <w:p>
            <w:pPr/>
            <w:r>
              <w:rPr>
                <w:rStyle w:val="CodeChar"/>
              </w:rPr>
              <w:t xml:space="preserve">order</w:t>
            </w:r>
            <w:r>
              <w:t xml:space="preserve">, </w:t>
            </w:r>
            <w:r>
              <w:rPr>
                <w:rStyle w:val="CodeChar"/>
              </w:rPr>
              <w:t xml:space="preserve">desc</w:t>
            </w:r>
            <w:r>
              <w:t xml:space="preserve">, </w:t>
            </w:r>
            <w:r>
              <w:rPr>
                <w:rStyle w:val="CodeChar"/>
              </w:rPr>
              <w:t xml:space="preserve">user</w:t>
            </w:r>
            <w:r>
              <w:t xml:space="preserve">, </w:t>
            </w:r>
            <w:r>
              <w:rPr>
                <w:rStyle w:val="CodeChar"/>
              </w:rPr>
              <w:t xml:space="preserve">group</w:t>
            </w:r>
            <w:r>
              <w:t xml:space="preserve">, </w:t>
            </w:r>
            <w:r>
              <w:rPr>
                <w:rStyle w:val="CodeChar"/>
              </w:rPr>
              <w:t xml:space="preserve">table</w:t>
            </w:r>
            <w:r>
              <w:t xml:space="preserve">, </w:t>
            </w:r>
            <w:r>
              <w:rPr>
                <w:rStyle w:val="CodeChar"/>
              </w:rPr>
              <w:t xml:space="preserve">select</w:t>
            </w:r>
            <w:r>
              <w:t xml:space="preserve">, </w:t>
            </w:r>
            <w:r>
              <w:rPr>
                <w:rStyle w:val="CodeChar"/>
              </w:rPr>
              <w:t xml:space="preserve">end</w:t>
            </w:r>
            <w:r>
              <w:t xml:space="preserve">, </w:t>
            </w:r>
            <w:r>
              <w:rPr>
                <w:rStyle w:val="CodeChar"/>
              </w:rPr>
              <w:t xml:space="preserve">type</w:t>
            </w:r>
            <w:r>
              <w:t xml:space="preserve"> como nome de campo quebram qualquer SQL sem aspas</w:t>
            </w:r>
          </w:p>
        </w:tc>
        <w:tc>
          <w:tcPr>
            <w:tcW w:w="3120" w:type="dxa"/>
          </w:tcPr>
          <w:p>
            <w:pPr/>
            <w:r>
              <w:t xml:space="preserve">Renomear no import: </w:t>
            </w:r>
            <w:r>
              <w:rPr>
                <w:rStyle w:val="CodeChar"/>
              </w:rPr>
              <w:t xml:space="preserve">ordem</w:t>
            </w:r>
            <w:r>
              <w:t xml:space="preserve">, </w:t>
            </w:r>
            <w:r>
              <w:rPr>
                <w:rStyle w:val="CodeChar"/>
              </w:rPr>
              <w:t xml:space="preserve">descricao</w:t>
            </w:r>
            <w:r>
              <w:t xml:space="preserve">, </w:t>
            </w:r>
            <w:r>
              <w:rPr>
                <w:rStyle w:val="CodeChar"/>
              </w:rPr>
              <w:t xml:space="preserve">usuario</w:t>
            </w:r>
          </w:p>
        </w:tc>
      </w:tr>
      <w:tr>
        <w:tc>
          <w:tcPr>
            <w:tcW w:w="3120" w:type="dxa"/>
          </w:tcPr>
          <w:p>
            <w:pPr/>
            <w:r>
              <w:t xml:space="preserve">Nome começando com número</w:t>
            </w:r>
          </w:p>
        </w:tc>
        <w:tc>
          <w:tcPr>
            <w:tcW w:w="3120" w:type="dxa"/>
          </w:tcPr>
          <w:p>
            <w:pPr/>
            <w:r>
              <w:rPr>
                <w:rStyle w:val="CodeChar"/>
              </w:rPr>
              <w:t xml:space="preserve">2023_pop</w:t>
            </w:r>
            <w:r>
              <w:t xml:space="preserve"> só funciona como </w:t>
            </w:r>
            <w:r>
              <w:rPr>
                <w:rStyle w:val="CodeChar"/>
              </w:rPr>
              <w:t xml:space="preserve">"2023_pop"</w:t>
            </w:r>
          </w:p>
        </w:tc>
        <w:tc>
          <w:tcPr>
            <w:tcW w:w="3120" w:type="dxa"/>
          </w:tcPr>
          <w:p>
            <w:pPr/>
            <w:r>
              <w:rPr>
                <w:rStyle w:val="CodeChar"/>
              </w:rPr>
              <w:t xml:space="preserve">pop_2023</w:t>
            </w:r>
          </w:p>
        </w:tc>
      </w:tr>
      <w:tr>
        <w:tc>
          <w:tcPr>
            <w:tcW w:w="3120" w:type="dxa"/>
          </w:tcPr>
          <w:p>
            <w:pPr/>
            <w:r>
              <w:t xml:space="preserve">Conflito com a chave que o QGIS cria</w:t>
            </w:r>
          </w:p>
        </w:tc>
        <w:tc>
          <w:tcPr>
            <w:tcW w:w="3120" w:type="dxa"/>
          </w:tcPr>
          <w:p>
            <w:pPr/>
            <w:r>
              <w:t xml:space="preserve">O import cria </w:t>
            </w:r>
            <w:r>
              <w:rPr>
                <w:rStyle w:val="CodeChar"/>
              </w:rPr>
              <w:t xml:space="preserve">id</w:t>
            </w:r>
            <w:r>
              <w:t xml:space="preserve"> (ou </w:t>
            </w:r>
            <w:r>
              <w:rPr>
                <w:rStyle w:val="CodeChar"/>
              </w:rPr>
              <w:t xml:space="preserve">fid</w:t>
            </w:r>
            <w:r>
              <w:t xml:space="preserve">) como PK; se o shape já tinha </w:t>
            </w:r>
            <w:r>
              <w:rPr>
                <w:rStyle w:val="CodeChar"/>
              </w:rPr>
              <w:t xml:space="preserve">ID</w:t>
            </w:r>
            <w:r>
              <w:t xml:space="preserve">, sobra </w:t>
            </w:r>
            <w:r>
              <w:rPr>
                <w:rStyle w:val="CodeChar"/>
              </w:rPr>
              <w:t xml:space="preserve">id</w:t>
            </w:r>
            <w:r>
              <w:t xml:space="preserve"> e </w:t>
            </w:r>
            <w:r>
              <w:rPr>
                <w:rStyle w:val="CodeChar"/>
              </w:rPr>
              <w:t xml:space="preserve">id_1</w:t>
            </w:r>
            <w:r>
              <w:t xml:space="preserve">, e ninguém sabe qual é o original</w:t>
            </w:r>
          </w:p>
        </w:tc>
        <w:tc>
          <w:tcPr>
            <w:tcW w:w="3120" w:type="dxa"/>
          </w:tcPr>
          <w:p>
            <w:pPr/>
            <w:r>
              <w:t xml:space="preserve">Renomear o campo original antes (</w:t>
            </w:r>
            <w:r>
              <w:rPr>
                <w:rStyle w:val="CodeChar"/>
              </w:rPr>
              <w:t xml:space="preserve">cod_lote</w:t>
            </w:r>
            <w:r>
              <w:t xml:space="preserve">)</w:t>
            </w:r>
          </w:p>
        </w:tc>
      </w:tr>
      <w:tr>
        <w:tc>
          <w:tcPr>
            <w:tcW w:w="3120" w:type="dxa"/>
          </w:tcPr>
          <w:p>
            <w:pPr/>
            <w:r>
              <w:t xml:space="preserve">Schema errado / </w:t>
            </w:r>
            <w:r>
              <w:rPr>
                <w:rStyle w:val="CodeChar"/>
              </w:rPr>
              <w:t xml:space="preserve">search_path</w:t>
            </w:r>
          </w:p>
        </w:tc>
        <w:tc>
          <w:tcPr>
            <w:tcW w:w="3120" w:type="dxa"/>
          </w:tcPr>
          <w:p>
            <w:pPr/>
            <w:r>
              <w:t xml:space="preserve">Importou em </w:t>
            </w:r>
            <w:r>
              <w:rPr>
                <w:rStyle w:val="CodeChar"/>
              </w:rPr>
              <w:t xml:space="preserve">public</w:t>
            </w:r>
            <w:r>
              <w:t xml:space="preserve">, a view aponta para </w:t>
            </w:r>
            <w:r>
              <w:rPr>
                <w:rStyle w:val="CodeChar"/>
              </w:rPr>
              <w:t xml:space="preserve">geo.bairros</w:t>
            </w:r>
            <w:r>
              <w:t xml:space="preserve">: </w:t>
            </w:r>
            <w:r>
              <w:rPr>
                <w:i/>
              </w:rPr>
              <w:t xml:space="preserve">relation does not exist</w:t>
            </w:r>
            <w:r>
              <w:t xml:space="preserve"> com a tabela existindo</w:t>
            </w:r>
          </w:p>
        </w:tc>
        <w:tc>
          <w:tcPr>
            <w:tcW w:w="3120" w:type="dxa"/>
          </w:tcPr>
          <w:p>
            <w:pPr/>
            <w:r>
              <w:t xml:space="preserve">Sempre qualificar: </w:t>
            </w:r>
            <w:r>
              <w:rPr>
                <w:rStyle w:val="CodeChar"/>
              </w:rPr>
              <w:t xml:space="preserve">geo.bairros</w:t>
            </w:r>
          </w:p>
        </w:tc>
      </w:tr>
    </w:tbl>
    <w:p>
      <w:pPr/>
      <w:r>
        <w:t xml:space="preserve">Verificação rápida no psql: </w:t>
      </w:r>
      <w:r>
        <w:rPr>
          <w:rStyle w:val="CodeChar"/>
        </w:rPr>
        <w:t xml:space="preserve">\d "Bairros"</w:t>
      </w:r>
      <w:r>
        <w:t xml:space="preserve"> mostra o nome exato de cada coluna, com aspas onde forem necessárias.</w:t>
      </w:r>
    </w:p>
    <w:p>
      <w:pPr>
        <w:pStyle w:val="Heading2"/>
      </w:pPr>
      <w:r>
        <w:t xml:space="preserve">PostGIS: armadilhas dentro dos dados</w:t>
      </w:r>
    </w:p>
    <w:p>
      <w:pPr/>
      <w:r>
        <w:t xml:space="preserve">Mesmo com os nomes certos, o conteúdo das colunas engana. Nenhum destes casos gera erro: só resultado diferente do esperado.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Armadilha</w:t>
            </w:r>
          </w:p>
        </w:tc>
        <w:tc>
          <w:tcPr>
            <w:tcW w:w="3120" w:type="dxa"/>
            <w:shd w:val="clear" w:color="auto" w:fill="F2F2F2"/>
          </w:tcPr>
          <w:p>
            <w:pPr/>
            <w:r>
              <w:t xml:space="preserve">Exemplo</w:t>
            </w:r>
          </w:p>
        </w:tc>
        <w:tc>
          <w:tcPr>
            <w:tcW w:w="3120" w:type="dxa"/>
            <w:shd w:val="clear" w:color="auto" w:fill="F2F2F2"/>
          </w:tcPr>
          <w:p>
            <w:pPr/>
            <w:r>
              <w:t xml:space="preserve">Solução</w:t>
            </w:r>
          </w:p>
        </w:tc>
      </w:tr>
      <w:tr>
        <w:tc>
          <w:tcPr>
            <w:tcW w:w="3120" w:type="dxa"/>
          </w:tcPr>
          <w:p>
            <w:pPr/>
            <w:r>
              <w:t xml:space="preserve">Comparação diferencia maiúsculas</w:t>
            </w:r>
          </w:p>
        </w:tc>
        <w:tc>
          <w:tcPr>
            <w:tcW w:w="3120" w:type="dxa"/>
          </w:tcPr>
          <w:p>
            <w:pPr/>
            <w:r>
              <w:rPr>
                <w:rStyle w:val="CodeChar"/>
              </w:rPr>
              <w:t xml:space="preserve">'TOLEDO' &lt;&gt; 'Toledo'</w:t>
            </w:r>
          </w:p>
        </w:tc>
        <w:tc>
          <w:tcPr>
            <w:tcW w:w="3120" w:type="dxa"/>
          </w:tcPr>
          <w:p>
            <w:pPr/>
            <w:r>
              <w:rPr>
                <w:rStyle w:val="CodeChar"/>
              </w:rPr>
              <w:t xml:space="preserve">ILIKE</w:t>
            </w:r>
            <w:r>
              <w:t xml:space="preserve">, </w:t>
            </w:r>
            <w:r>
              <w:rPr>
                <w:rStyle w:val="CodeChar"/>
              </w:rPr>
              <w:t xml:space="preserve">lower(nome) = 'toledo'</w:t>
            </w:r>
          </w:p>
        </w:tc>
      </w:tr>
      <w:tr>
        <w:tc>
          <w:tcPr>
            <w:tcW w:w="3120" w:type="dxa"/>
          </w:tcPr>
          <w:p>
            <w:pPr/>
            <w:r>
              <w:t xml:space="preserve">Acento</w:t>
            </w:r>
          </w:p>
        </w:tc>
        <w:tc>
          <w:tcPr>
            <w:tcW w:w="3120" w:type="dxa"/>
          </w:tcPr>
          <w:p>
            <w:pPr/>
            <w:r>
              <w:rPr>
                <w:rStyle w:val="CodeChar"/>
              </w:rPr>
              <w:t xml:space="preserve">'Sao Jose' &lt;&gt; 'São José'</w:t>
            </w:r>
          </w:p>
        </w:tc>
        <w:tc>
          <w:tcPr>
            <w:tcW w:w="3120" w:type="dxa"/>
          </w:tcPr>
          <w:p>
            <w:pPr/>
            <w:r>
              <w:t xml:space="preserve">Extensão </w:t>
            </w:r>
            <w:r>
              <w:rPr>
                <w:rStyle w:val="CodeChar"/>
              </w:rPr>
              <w:t xml:space="preserve">unaccent</w:t>
            </w:r>
            <w:r>
              <w:t xml:space="preserve">: </w:t>
            </w:r>
            <w:r>
              <w:rPr>
                <w:rStyle w:val="CodeChar"/>
              </w:rPr>
              <w:t xml:space="preserve">unaccent(lower(nome)) = 'sao jose'</w:t>
            </w:r>
          </w:p>
        </w:tc>
      </w:tr>
      <w:tr>
        <w:tc>
          <w:tcPr>
            <w:tcW w:w="3120" w:type="dxa"/>
          </w:tcPr>
          <w:p>
            <w:pPr/>
            <w:r>
              <w:t xml:space="preserve">Espaço no fim</w:t>
            </w:r>
          </w:p>
        </w:tc>
        <w:tc>
          <w:tcPr>
            <w:tcW w:w="3120" w:type="dxa"/>
          </w:tcPr>
          <w:p>
            <w:pPr/>
            <w:r>
              <w:rPr>
                <w:rStyle w:val="CodeChar"/>
              </w:rPr>
              <w:t xml:space="preserve">'Toledo ' &lt;&gt; 'Toledo'</w:t>
            </w:r>
            <w:r>
              <w:t xml:space="preserve"> — comum em dados digitados no Excel</w:t>
            </w:r>
          </w:p>
        </w:tc>
        <w:tc>
          <w:tcPr>
            <w:tcW w:w="3120" w:type="dxa"/>
          </w:tcPr>
          <w:p>
            <w:pPr/>
            <w:r>
              <w:rPr>
                <w:rStyle w:val="CodeChar"/>
              </w:rPr>
              <w:t xml:space="preserve">trim(nome)</w:t>
            </w:r>
            <w:r>
              <w:t xml:space="preserve">; ver com </w:t>
            </w:r>
            <w:r>
              <w:rPr>
                <w:rStyle w:val="CodeChar"/>
              </w:rPr>
              <w:t xml:space="preserve">length(nome)</w:t>
            </w:r>
          </w:p>
        </w:tc>
      </w:tr>
      <w:tr>
        <w:tc>
          <w:tcPr>
            <w:tcW w:w="3120" w:type="dxa"/>
          </w:tcPr>
          <w:p>
            <w:pPr/>
            <w:r>
              <w:t xml:space="preserve">Vazio × NULL</w:t>
            </w:r>
          </w:p>
        </w:tc>
        <w:tc>
          <w:tcPr>
            <w:tcW w:w="3120" w:type="dxa"/>
          </w:tcPr>
          <w:p>
            <w:pPr/>
            <w:r>
              <w:t xml:space="preserve">Do DBF vem </w:t>
            </w:r>
            <w:r>
              <w:rPr>
                <w:rStyle w:val="CodeChar"/>
              </w:rPr>
              <w:t xml:space="preserve">''</w:t>
            </w:r>
            <w:r>
              <w:t xml:space="preserve">; </w:t>
            </w:r>
            <w:r>
              <w:rPr>
                <w:rStyle w:val="CodeChar"/>
              </w:rPr>
              <w:t xml:space="preserve">WHERE nome IS NULL</w:t>
            </w:r>
            <w:r>
              <w:t xml:space="preserve"> não acha</w:t>
            </w:r>
          </w:p>
        </w:tc>
        <w:tc>
          <w:tcPr>
            <w:tcW w:w="3120" w:type="dxa"/>
          </w:tcPr>
          <w:p>
            <w:pPr/>
            <w:r>
              <w:rPr>
                <w:rStyle w:val="CodeChar"/>
              </w:rPr>
              <w:t xml:space="preserve">WHERE nome IS NULL OR nome = ''</w:t>
            </w:r>
            <w:r>
              <w:t xml:space="preserve"> ou </w:t>
            </w:r>
            <w:r>
              <w:rPr>
                <w:rStyle w:val="CodeChar"/>
              </w:rPr>
              <w:t xml:space="preserve">nullif(nome, '')</w:t>
            </w:r>
          </w:p>
        </w:tc>
      </w:tr>
      <w:tr>
        <w:tc>
          <w:tcPr>
            <w:tcW w:w="3120" w:type="dxa"/>
          </w:tcPr>
          <w:p>
            <w:pPr/>
            <w:r>
              <w:t xml:space="preserve">Número guardado como texto</w:t>
            </w:r>
          </w:p>
        </w:tc>
        <w:tc>
          <w:tcPr>
            <w:tcW w:w="3120" w:type="dxa"/>
          </w:tcPr>
          <w:p>
            <w:pPr/>
            <w:r>
              <w:rPr>
                <w:rStyle w:val="CodeChar"/>
              </w:rPr>
              <w:t xml:space="preserve">'100' &lt; '20' &lt; '9'</w:t>
            </w:r>
            <w:r>
              <w:t xml:space="preserve"> no </w:t>
            </w:r>
            <w:r>
              <w:rPr>
                <w:rStyle w:val="CodeChar"/>
              </w:rPr>
              <w:t xml:space="preserve">ORDER BY</w:t>
            </w:r>
            <w:r>
              <w:t xml:space="preserve">; soma dá erro</w:t>
            </w:r>
          </w:p>
        </w:tc>
        <w:tc>
          <w:tcPr>
            <w:tcW w:w="3120" w:type="dxa"/>
          </w:tcPr>
          <w:p>
            <w:pPr/>
            <w:r>
              <w:t xml:space="preserve">Converter tipo da coluna</w:t>
            </w:r>
          </w:p>
        </w:tc>
      </w:tr>
      <w:tr>
        <w:tc>
          <w:tcPr>
            <w:tcW w:w="3120" w:type="dxa"/>
          </w:tcPr>
          <w:p>
            <w:pPr/>
            <w:r>
              <w:t xml:space="preserve">Vírgula decimal</w:t>
            </w:r>
          </w:p>
        </w:tc>
        <w:tc>
          <w:tcPr>
            <w:tcW w:w="3120" w:type="dxa"/>
          </w:tcPr>
          <w:p>
            <w:pPr/>
            <w:r>
              <w:rPr>
                <w:rStyle w:val="CodeChar"/>
              </w:rPr>
              <w:t xml:space="preserve">'12,5'::numeric</w:t>
            </w:r>
            <w:r>
              <w:t xml:space="preserve"> falha</w:t>
            </w:r>
          </w:p>
        </w:tc>
        <w:tc>
          <w:tcPr>
            <w:tcW w:w="3120" w:type="dxa"/>
          </w:tcPr>
          <w:p>
            <w:pPr/>
            <w:r>
              <w:rPr>
                <w:rStyle w:val="CodeChar"/>
              </w:rPr>
              <w:t xml:space="preserve">replace(campo, ',', '.')::numeric</w:t>
            </w:r>
          </w:p>
        </w:tc>
      </w:tr>
      <w:tr>
        <w:tc>
          <w:tcPr>
            <w:tcW w:w="3120" w:type="dxa"/>
          </w:tcPr>
          <w:p>
            <w:pPr/>
            <w:r>
              <w:t xml:space="preserve">Ordenação com acento depende da collation do banco</w:t>
            </w:r>
          </w:p>
        </w:tc>
        <w:tc>
          <w:tcPr>
            <w:tcW w:w="3120" w:type="dxa"/>
          </w:tcPr>
          <w:p>
            <w:pPr/>
            <w:r>
              <w:t xml:space="preserve">Em collation </w:t>
            </w:r>
            <w:r>
              <w:rPr>
                <w:rStyle w:val="CodeChar"/>
              </w:rPr>
              <w:t xml:space="preserve">C</w:t>
            </w:r>
            <w:r>
              <w:t xml:space="preserve">, </w:t>
            </w:r>
            <w:r>
              <w:rPr>
                <w:rStyle w:val="CodeChar"/>
              </w:rPr>
              <w:t xml:space="preserve">Água</w:t>
            </w:r>
            <w:r>
              <w:t xml:space="preserve"> ordena depois de </w:t>
            </w:r>
            <w:r>
              <w:rPr>
                <w:rStyle w:val="CodeChar"/>
              </w:rPr>
              <w:t xml:space="preserve">Zumbi</w:t>
            </w:r>
            <w:r>
              <w:t xml:space="preserve">; em </w:t>
            </w:r>
            <w:r>
              <w:rPr>
                <w:rStyle w:val="CodeChar"/>
              </w:rPr>
              <w:t xml:space="preserve">pt_BR.UTF-8</w:t>
            </w:r>
            <w:r>
              <w:t xml:space="preserve"> ordena entre </w:t>
            </w:r>
            <w:r>
              <w:rPr>
                <w:rStyle w:val="CodeChar"/>
              </w:rPr>
              <w:t xml:space="preserve">A</w:t>
            </w:r>
            <w:r>
              <w:t xml:space="preserve"> e </w:t>
            </w:r>
            <w:r>
              <w:rPr>
                <w:rStyle w:val="CodeChar"/>
              </w:rPr>
              <w:t xml:space="preserve">B</w:t>
            </w:r>
          </w:p>
        </w:tc>
        <w:tc>
          <w:tcPr>
            <w:tcW w:w="3120" w:type="dxa"/>
          </w:tcPr>
          <w:p>
            <w:pPr/>
            <w:r>
              <w:t xml:space="preserve">Criar o banco com </w:t>
            </w:r>
            <w:r>
              <w:rPr>
                <w:rStyle w:val="CodeChar"/>
              </w:rPr>
              <w:t xml:space="preserve">pt_BR.UTF-8</w:t>
            </w:r>
            <w:r>
              <w:t xml:space="preserve"> ou usar </w:t>
            </w:r>
            <w:r>
              <w:rPr>
                <w:rStyle w:val="CodeChar"/>
              </w:rPr>
              <w:t xml:space="preserve">COLLATE</w:t>
            </w:r>
            <w:r>
              <w:t xml:space="preserve"> na consulta</w:t>
            </w:r>
          </w:p>
        </w:tc>
      </w:tr>
      <w:tr>
        <w:tc>
          <w:tcPr>
            <w:tcW w:w="3120" w:type="dxa"/>
          </w:tcPr>
          <w:p>
            <w:pPr/>
            <w:r>
              <w:t xml:space="preserve">Encoding no import</w:t>
            </w:r>
          </w:p>
        </w:tc>
        <w:tc>
          <w:tcPr>
            <w:tcW w:w="3120" w:type="dxa"/>
          </w:tcPr>
          <w:p>
            <w:pPr/>
            <w:r>
              <w:rPr>
                <w:rStyle w:val="CodeChar"/>
              </w:rPr>
              <w:t xml:space="preserve">shp2pgsql</w:t>
            </w:r>
            <w:r>
              <w:t xml:space="preserve"> sem </w:t>
            </w:r>
            <w:r>
              <w:rPr>
                <w:rStyle w:val="CodeChar"/>
              </w:rPr>
              <w:t xml:space="preserve">-W latin1</w:t>
            </w:r>
            <w:r>
              <w:t xml:space="preserve">, ou codificação errada na camada do QGIS</w:t>
            </w:r>
          </w:p>
        </w:tc>
        <w:tc>
          <w:tcPr>
            <w:tcW w:w="3120" w:type="dxa"/>
          </w:tcPr>
          <w:p>
            <w:pPr/>
            <w:r>
              <w:t xml:space="preserve">Mojibake silencioso, ou </w:t>
            </w:r>
            <w:r>
              <w:rPr>
                <w:rStyle w:val="CodeChar"/>
              </w:rPr>
              <w:t xml:space="preserve">invalid byte sequence for encoding "UTF8"</w:t>
            </w:r>
            <w:r>
              <w:t xml:space="preserve"> (esse pelo menos avisa)</w:t>
            </w:r>
          </w:p>
        </w:tc>
      </w:tr>
    </w:tbl>
    <w:p>
      <w:pPr>
        <w:pStyle w:val="Code"/>
      </w:pPr>
      <w:bookmarkStart w:id="2" w:name="bongo_lang_sql_2"/>
      <w:bookmarkEnd w:id="2"/>
      <w:r>
        <w:t xml:space="preserve">-- Diagnóstico rápido de uma coluna de texto</w:t>
        <w:br/>
        <w:t xml:space="preserve">SELECT nome, length(nome), nome &lt;&gt; trim(nome) AS tem_espaco, nome = '' AS vazio</w:t>
        <w:br/>
        <w:t xml:space="preserve">FROM bairros</w:t>
        <w:br/>
        <w:t xml:space="preserve">WHERE nome &lt;&gt; trim(nome) OR nome = '' OR nome IS NULL;</w:t>
        <w:br/>
        <w:br/>
        <w:t xml:space="preserve">-- Busca tolerante</w:t>
        <w:br/>
        <w:t xml:space="preserve">CREATE EXTENSION IF NOT EXISTS unaccent;</w:t>
        <w:br/>
        <w:t xml:space="preserve">SELECT * FROM bairros WHERE unaccent(lower(trim(nome))) = 'sao jose';</w:t>
        <w:br/>
        <w:br/>
        <w:t xml:space="preserve">-- Collation do banco</w:t>
        <w:br/>
        <w:t xml:space="preserve">SELECT datname, datcollate FROM pg_database WHERE datname = current_database();</w:t>
      </w:r>
    </w:p>
    <w:p>
      <w:pPr>
        <w:pStyle w:val="Heading2"/>
      </w:pPr>
      <w:r>
        <w:t xml:space="preserve">PostGIS + QGIS: SRID, geometria, chave primária e views</w:t>
      </w:r>
    </w:p>
    <w:p>
      <w:pPr/>
      <w:r>
        <w:t xml:space="preserve">Aqui o QGIS colabora com o erro: a reprojeção em tempo real e a leitura tolerante escondem problemas que só aparecem numa medição ou num cruzamento com outro dado.</w:t>
      </w:r>
    </w:p>
    <w:p>
      <w:pPr/>
      <w:r>
        <w:rPr>
          <w:b/>
        </w:rPr>
        <w:t xml:space="preserve">SRID assumido errado.</w:t>
      </w:r>
      <w:r>
        <w:t xml:space="preserve"> Um shape sem </w:t>
      </w:r>
      <w:r>
        <w:rPr>
          <w:rStyle w:val="CodeChar"/>
        </w:rPr>
        <w:t xml:space="preserve">.prj</w:t>
      </w:r>
      <w:r>
        <w:t xml:space="preserve"> importado com </w:t>
      </w:r>
      <w:r>
        <w:rPr>
          <w:i/>
        </w:rPr>
        <w:t xml:space="preserve">Assumir CRS = SIRGAS 2000 / UTM 22S (31982)</w:t>
      </w:r>
      <w:r>
        <w:t xml:space="preserve"> quando o dado era SAD69 (29192) fica deslocado cerca de 60 m — e o QGIS desenha tudo "no lugar". SIRGAS 2000 e WGS84 diferem menos de 1 m, então ninguém percebe. Sempre confirmar a origem do dado antes de assumir.</w:t>
      </w:r>
    </w:p>
    <w:p>
      <w:pPr>
        <w:pStyle w:val="Code"/>
      </w:pPr>
      <w:bookmarkStart w:id="3" w:name="bongo_lang_sql_3"/>
      <w:bookmarkEnd w:id="3"/>
      <w:r>
        <w:t xml:space="preserve">SELECT DISTINCT ST_SRID(geom) FROM lotes;            -- deve retornar um único valor, nunca 0</w:t>
        <w:br/>
        <w:t xml:space="preserve">SELECT Find_SRID('public', 'lotes', 'geom');         -- o que a coluna declara</w:t>
      </w:r>
    </w:p>
    <w:p>
      <w:pPr/>
      <w:r>
        <w:rPr>
          <w:b/>
        </w:rPr>
        <w:t xml:space="preserve">Geometria inválida.</w:t>
      </w:r>
      <w:r>
        <w:t xml:space="preserve"> Polígono com auto-interseção ("gravata borboleta") ou anel não fechado. </w:t>
      </w:r>
      <w:r>
        <w:rPr>
          <w:rStyle w:val="CodeChar"/>
        </w:rPr>
        <w:t xml:space="preserve">ST_Intersects</w:t>
      </w:r>
      <w:r>
        <w:t xml:space="preserve">, </w:t>
      </w:r>
      <w:r>
        <w:rPr>
          <w:rStyle w:val="CodeChar"/>
        </w:rPr>
        <w:t xml:space="preserve">ST_Within</w:t>
      </w:r>
      <w:r>
        <w:t xml:space="preserve"> e </w:t>
      </w:r>
      <w:r>
        <w:rPr>
          <w:rStyle w:val="CodeChar"/>
        </w:rPr>
        <w:t xml:space="preserve">ST_Contains</w:t>
      </w:r>
      <w:r>
        <w:t xml:space="preserve"> </w:t>
      </w:r>
      <w:r>
        <w:rPr>
          <w:b/>
        </w:rPr>
        <w:t xml:space="preserve">retornam resultado errado sem avisar</w:t>
      </w:r>
      <w:r>
        <w:t xml:space="preserve">; só </w:t>
      </w:r>
      <w:r>
        <w:rPr>
          <w:rStyle w:val="CodeChar"/>
        </w:rPr>
        <w:t xml:space="preserve">ST_Union</w:t>
      </w:r>
      <w:r>
        <w:t xml:space="preserve"> e </w:t>
      </w:r>
      <w:r>
        <w:rPr>
          <w:rStyle w:val="CodeChar"/>
        </w:rPr>
        <w:t xml:space="preserve">ST_Intersection</w:t>
      </w:r>
      <w:r>
        <w:t xml:space="preserve"> estouram com </w:t>
      </w:r>
      <w:r>
        <w:rPr>
          <w:i/>
        </w:rPr>
        <w:t xml:space="preserve">TopologyException</w:t>
      </w:r>
      <w:r>
        <w:t xml:space="preserve">.</w:t>
      </w:r>
    </w:p>
    <w:p>
      <w:pPr>
        <w:pStyle w:val="Code"/>
      </w:pPr>
      <w:bookmarkStart w:id="4" w:name="bongo_lang_sql_4"/>
      <w:bookmarkEnd w:id="4"/>
      <w:r>
        <w:t xml:space="preserve">SELECT count(*) FROM lotes WHERE NOT ST_IsValid(geom);</w:t>
        <w:br/>
        <w:t xml:space="preserve">SELECT id, ST_IsValidReason(geom) FROM lotes WHERE NOT ST_IsValid(geom);</w:t>
        <w:br/>
        <w:t xml:space="preserve">UPDATE lotes SET geom = ST_MakeValid(geom) WHERE NOT ST_IsValid(geom);</w:t>
      </w:r>
    </w:p>
    <w:p>
      <w:pPr/>
      <w:r>
        <w:rPr>
          <w:b/>
        </w:rPr>
        <w:t xml:space="preserve">Tabela sem chave primária inteira.</w:t>
      </w:r>
      <w:r>
        <w:t xml:space="preserve"> O QGIS abre a camada como somente leitura, ou usa o </w:t>
      </w:r>
      <w:r>
        <w:rPr>
          <w:rStyle w:val="CodeChar"/>
        </w:rPr>
        <w:t xml:space="preserve">ctid</w:t>
      </w:r>
      <w:r>
        <w:t xml:space="preserve"> interno como chave — e a edição "funciona" até um </w:t>
      </w:r>
      <w:r>
        <w:rPr>
          <w:rStyle w:val="CodeChar"/>
        </w:rPr>
        <w:t xml:space="preserve">VACUUM</w:t>
      </w:r>
      <w:r>
        <w:t xml:space="preserve"> renumerar os ctids. Em views, o QGIS pede uma coluna única; escolher uma que não é única faz feições sumirem ou aparecerem duplicadas no mapa.</w:t>
      </w:r>
    </w:p>
    <w:p>
      <w:pPr/>
      <w:r>
        <w:rPr>
          <w:b/>
        </w:rPr>
        <w:t xml:space="preserve">Metadados estimados.</w:t>
      </w:r>
      <w:r>
        <w:t xml:space="preserve"> A conexão do QGIS tem a opção </w:t>
      </w:r>
      <w:r>
        <w:rPr>
          <w:i/>
        </w:rPr>
        <w:t xml:space="preserve">Usar metadados estimados da tabela</w:t>
      </w:r>
      <w:r>
        <w:t xml:space="preserve">: extensão e contagem vêm das estatísticas do PostgreSQL. Tabela recém-carregada sem </w:t>
      </w:r>
      <w:r>
        <w:rPr>
          <w:rStyle w:val="CodeChar"/>
        </w:rPr>
        <w:t xml:space="preserve">ANALYZE</w:t>
      </w:r>
      <w:r>
        <w:t xml:space="preserve"> → </w:t>
      </w:r>
      <w:r>
        <w:rPr>
          <w:i/>
        </w:rPr>
        <w:t xml:space="preserve">Zoom para a camada</w:t>
      </w:r>
      <w:r>
        <w:t xml:space="preserve"> vai para o lugar errado ou a camada parece vazia.</w:t>
      </w:r>
    </w:p>
    <w:p>
      <w:pPr>
        <w:pStyle w:val="Code"/>
      </w:pPr>
      <w:bookmarkStart w:id="5" w:name="bongo_lang_sql_5"/>
      <w:bookmarkEnd w:id="5"/>
      <w:r>
        <w:t xml:space="preserve">ANALYZE lotes;   -- depois de todo import grande</w:t>
      </w:r>
    </w:p>
    <w:p>
      <w:pPr/>
      <w:r>
        <w:rPr>
          <w:b/>
        </w:rPr>
        <w:t xml:space="preserve">View sem tipo de geometria explícito.</w:t>
      </w:r>
      <w:r>
        <w:t xml:space="preserve"> O QGIS varre a view inteira para descobrir o tipo (lento em tabelas grandes) ou trata como "desconhecido" e não estiliza. Sempre declarar o tipo e o SRID na view:</w:t>
      </w:r>
    </w:p>
    <w:p>
      <w:pPr>
        <w:pStyle w:val="Code"/>
      </w:pPr>
      <w:bookmarkStart w:id="6" w:name="bongo_lang_sql_6"/>
      <w:bookmarkEnd w:id="6"/>
      <w:r>
        <w:t xml:space="preserve">CREATE VIEW v_lotes AS</w:t>
        <w:br/>
        <w:t xml:space="preserve">SELECT id, inscricao, geom::geometry(MultiPolygon, 31982) AS geom</w:t>
        <w:br/>
        <w:t xml:space="preserve">FROM lotes;</w:t>
      </w:r>
    </w:p>
    <w:p>
      <w:pPr/>
      <w:r>
        <w:rPr>
          <w:b/>
        </w:rPr>
        <w:t xml:space="preserve">Tipos misturados numa coluna </w:t>
      </w:r>
      <w:r>
        <w:rPr>
          <w:rStyle w:val="CodeChar"/>
          <w:b/>
        </w:rPr>
        <w:t xml:space="preserve">geometry</w:t>
      </w:r>
      <w:r>
        <w:rPr>
          <w:b/>
        </w:rPr>
        <w:t xml:space="preserve"> genérica.</w:t>
      </w:r>
      <w:r>
        <w:t xml:space="preserve"> Polygon e MultiPolygon na mesma coluna: o QGIS mostra só um dos tipos e não avisa. Ver com </w:t>
      </w:r>
      <w:r>
        <w:rPr>
          <w:rStyle w:val="CodeChar"/>
        </w:rPr>
        <w:t xml:space="preserve">SELECT DISTINCT GeometryType(geom) FROM tabela</w:t>
      </w:r>
      <w:r>
        <w:t xml:space="preserve">.</w:t>
      </w:r>
    </w:p>
    <w:p>
      <w:pPr>
        <w:pStyle w:val="Heading2"/>
      </w:pPr>
      <w:r>
        <w:t xml:space="preserve">Windows: pastas, nomes e caminhos</w:t>
      </w:r>
    </w:p>
    <w:p>
      <w:pPr/>
      <w:r>
        <w:t xml:space="preserve">A regra prática: projeto em </w:t>
      </w:r>
      <w:r>
        <w:rPr>
          <w:rStyle w:val="CodeChar"/>
        </w:rPr>
        <w:t xml:space="preserve">C:\gis\projeto\</w:t>
      </w:r>
      <w:r>
        <w:t xml:space="preserve">, nunca em </w:t>
      </w:r>
      <w:r>
        <w:rPr>
          <w:rStyle w:val="CodeChar"/>
        </w:rPr>
        <w:t xml:space="preserve">C:\Users\João Silva\OneDrive - Prefeitura\Documentos\Secretaria\Geoprocessamento\2026\...</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Armadilha</w:t>
            </w:r>
          </w:p>
        </w:tc>
        <w:tc>
          <w:tcPr>
            <w:tcW w:w="3120" w:type="dxa"/>
            <w:shd w:val="clear" w:color="auto" w:fill="F2F2F2"/>
          </w:tcPr>
          <w:p>
            <w:pPr/>
            <w:r>
              <w:t xml:space="preserve">O que acontece</w:t>
            </w:r>
          </w:p>
        </w:tc>
        <w:tc>
          <w:tcPr>
            <w:tcW w:w="3120" w:type="dxa"/>
            <w:shd w:val="clear" w:color="auto" w:fill="F2F2F2"/>
          </w:tcPr>
          <w:p>
            <w:pPr/>
            <w:r>
              <w:t xml:space="preserve">Regra</w:t>
            </w:r>
          </w:p>
        </w:tc>
      </w:tr>
      <w:tr>
        <w:tc>
          <w:tcPr>
            <w:tcW w:w="3120" w:type="dxa"/>
          </w:tcPr>
          <w:p>
            <w:pPr/>
            <w:r>
              <w:t xml:space="preserve">Caminho com mais de 260 caracteres (MAX_PATH)</w:t>
            </w:r>
          </w:p>
        </w:tc>
        <w:tc>
          <w:tcPr>
            <w:tcW w:w="3120" w:type="dxa"/>
          </w:tcPr>
          <w:p>
            <w:pPr/>
            <w:r>
              <w:t xml:space="preserve">Vale na prática para a maioria dos programas, mesmo com </w:t>
            </w:r>
            <w:r>
              <w:rPr>
                <w:i/>
              </w:rPr>
              <w:t xml:space="preserve">LongPathsEnabled</w:t>
            </w:r>
            <w:r>
              <w:t xml:space="preserve"> no registro. Sintoma: "não foi possível abrir o arquivo", ou shapefile salvo pela metade (o </w:t>
            </w:r>
            <w:r>
              <w:rPr>
                <w:rStyle w:val="CodeChar"/>
              </w:rPr>
              <w:t xml:space="preserve">.shp</w:t>
            </w:r>
            <w:r>
              <w:t xml:space="preserve"> grava, um auxiliar não), ou pasta que o Explorer não consegue apagar</w:t>
            </w:r>
          </w:p>
        </w:tc>
        <w:tc>
          <w:tcPr>
            <w:tcW w:w="3120" w:type="dxa"/>
          </w:tcPr>
          <w:p>
            <w:pPr/>
            <w:r>
              <w:t xml:space="preserve">Caminhos curtos, poucos níveis</w:t>
            </w:r>
          </w:p>
        </w:tc>
      </w:tr>
      <w:tr>
        <w:tc>
          <w:tcPr>
            <w:tcW w:w="3120" w:type="dxa"/>
          </w:tcPr>
          <w:p>
            <w:pPr/>
            <w:r>
              <w:t xml:space="preserve">Acento ou espaço no caminho (</w:t>
            </w:r>
            <w:r>
              <w:rPr>
                <w:rStyle w:val="CodeChar"/>
              </w:rPr>
              <w:t xml:space="preserve">C:\Users\João Silva\</w:t>
            </w:r>
            <w:r>
              <w:t xml:space="preserve">)</w:t>
            </w:r>
          </w:p>
        </w:tc>
        <w:tc>
          <w:tcPr>
            <w:tcW w:w="3120" w:type="dxa"/>
          </w:tcPr>
          <w:p>
            <w:pPr/>
            <w:r>
              <w:t xml:space="preserve">GDAL e QGIS núcleo funcionam; </w:t>
            </w:r>
            <w:r>
              <w:rPr>
                <w:b/>
              </w:rPr>
              <w:t xml:space="preserve">GRASS, SAGA e vários plugins Python não</w:t>
            </w:r>
            <w:r>
              <w:t xml:space="preserve">. Sintoma: algoritmo do Processing termina com saída vazia ou "arquivo não encontrado" apontando para um caminho cortado no espaço</w:t>
            </w:r>
          </w:p>
        </w:tc>
        <w:tc>
          <w:tcPr>
            <w:tcW w:w="3120" w:type="dxa"/>
          </w:tcPr>
          <w:p>
            <w:pPr/>
            <w:r>
              <w:t xml:space="preserve">Pasta de trabalho sem acento e sem espaço</w:t>
            </w:r>
          </w:p>
        </w:tc>
      </w:tr>
      <w:tr>
        <w:tc>
          <w:tcPr>
            <w:tcW w:w="3120" w:type="dxa"/>
          </w:tcPr>
          <w:p>
            <w:pPr/>
            <w:r>
              <w:t xml:space="preserve">OneDrive / Google Drive sincronizando a pasta</w:t>
            </w:r>
          </w:p>
        </w:tc>
        <w:tc>
          <w:tcPr>
            <w:tcW w:w="3120" w:type="dxa"/>
          </w:tcPr>
          <w:p>
            <w:pPr/>
            <w:r>
              <w:t xml:space="preserve">Arquivo </w:t>
            </w:r>
            <w:r>
              <w:rPr>
                <w:rStyle w:val="CodeChar"/>
              </w:rPr>
              <w:t xml:space="preserve">.lock</w:t>
            </w:r>
            <w:r>
              <w:t xml:space="preserve">, </w:t>
            </w:r>
            <w:r>
              <w:rPr>
                <w:rStyle w:val="CodeChar"/>
              </w:rPr>
              <w:t xml:space="preserve">.dbf</w:t>
            </w:r>
            <w:r>
              <w:t xml:space="preserve"> gravado durante a sincronização, projeto </w:t>
            </w:r>
            <w:r>
              <w:rPr>
                <w:rStyle w:val="CodeChar"/>
              </w:rPr>
              <w:t xml:space="preserve">.qgz</w:t>
            </w:r>
            <w:r>
              <w:t xml:space="preserve"> corrompido, "Documentos" redirecionado para o OneDrive sem o usuário saber</w:t>
            </w:r>
          </w:p>
        </w:tc>
        <w:tc>
          <w:tcPr>
            <w:tcW w:w="3120" w:type="dxa"/>
          </w:tcPr>
          <w:p>
            <w:pPr/>
            <w:r>
              <w:t xml:space="preserve">Trabalhar fora da pasta sincronizada; copiar para lá só o resultado</w:t>
            </w:r>
          </w:p>
        </w:tc>
      </w:tr>
      <w:tr>
        <w:tc>
          <w:tcPr>
            <w:tcW w:w="3120" w:type="dxa"/>
          </w:tcPr>
          <w:p>
            <w:pPr/>
            <w:r>
              <w:t xml:space="preserve">Windows ignora maiúsculas, Linux não</w:t>
            </w:r>
          </w:p>
        </w:tc>
        <w:tc>
          <w:tcPr>
            <w:tcW w:w="3120" w:type="dxa"/>
          </w:tcPr>
          <w:p>
            <w:pPr/>
            <w:r>
              <w:rPr>
                <w:rStyle w:val="CodeChar"/>
              </w:rPr>
              <w:t xml:space="preserve">Bairros.shp</w:t>
            </w:r>
            <w:r>
              <w:t xml:space="preserve"> + </w:t>
            </w:r>
            <w:r>
              <w:rPr>
                <w:rStyle w:val="CodeChar"/>
              </w:rPr>
              <w:t xml:space="preserve">bairros.dbf</w:t>
            </w:r>
            <w:r>
              <w:t xml:space="preserve"> funciona no Windows e quebra no servidor (GeoServer, QGIS Server, API)</w:t>
            </w:r>
          </w:p>
        </w:tc>
        <w:tc>
          <w:tcPr>
            <w:tcW w:w="3120" w:type="dxa"/>
          </w:tcPr>
          <w:p>
            <w:pPr/>
            <w:r>
              <w:t xml:space="preserve">Tudo em minúsculas</w:t>
            </w:r>
          </w:p>
        </w:tc>
      </w:tr>
      <w:tr>
        <w:tc>
          <w:tcPr>
            <w:tcW w:w="3120" w:type="dxa"/>
          </w:tcPr>
          <w:p>
            <w:pPr/>
            <w:r>
              <w:t xml:space="preserve">ZIP com acento no nome de arquivo</w:t>
            </w:r>
          </w:p>
        </w:tc>
        <w:tc>
          <w:tcPr>
            <w:tcW w:w="3120" w:type="dxa"/>
          </w:tcPr>
          <w:p>
            <w:pPr/>
            <w:r>
              <w:t xml:space="preserve">Zipado no Linux (UTF-8), aberto no Explorer (CP437): </w:t>
            </w:r>
            <w:r>
              <w:rPr>
                <w:rStyle w:val="CodeChar"/>
              </w:rPr>
              <w:t xml:space="preserve">Ã¡rea.shp</w:t>
            </w:r>
            <w:r>
              <w:t xml:space="preserve">; o QGIS não acha o </w:t>
            </w:r>
            <w:r>
              <w:rPr>
                <w:rStyle w:val="CodeChar"/>
              </w:rPr>
              <w:t xml:space="preserve">.dbf</w:t>
            </w:r>
            <w:r>
              <w:t xml:space="preserve"> porque o nome não bate mais</w:t>
            </w:r>
          </w:p>
        </w:tc>
        <w:tc>
          <w:tcPr>
            <w:tcW w:w="3120" w:type="dxa"/>
          </w:tcPr>
          <w:p>
            <w:pPr/>
            <w:r>
              <w:t xml:space="preserve">Nomes ASCII dentro do ZIP</w:t>
            </w:r>
          </w:p>
        </w:tc>
      </w:tr>
      <w:tr>
        <w:tc>
          <w:tcPr>
            <w:tcW w:w="3120" w:type="dxa"/>
          </w:tcPr>
          <w:p>
            <w:pPr/>
            <w:r>
              <w:t xml:space="preserve">Caminho absoluto no projeto QGIS</w:t>
            </w:r>
          </w:p>
        </w:tc>
        <w:tc>
          <w:tcPr>
            <w:tcW w:w="3120" w:type="dxa"/>
          </w:tcPr>
          <w:p>
            <w:pPr/>
            <w:r>
              <w:t xml:space="preserve">Pasta movida → camadas "indisponíveis" (visível). Invisível: uma cópia antiga do shape ainda existe no caminho absoluto e o projeto abre com o dado velho</w:t>
            </w:r>
          </w:p>
        </w:tc>
        <w:tc>
          <w:tcPr>
            <w:tcW w:w="3120" w:type="dxa"/>
          </w:tcPr>
          <w:p>
            <w:pPr/>
            <w:r>
              <w:t xml:space="preserve">Salvar o projeto com caminhos relativos (Propriedades do projeto → Geral)</w:t>
            </w:r>
          </w:p>
        </w:tc>
      </w:tr>
      <w:tr>
        <w:tc>
          <w:tcPr>
            <w:tcW w:w="3120" w:type="dxa"/>
          </w:tcPr>
          <w:p>
            <w:pPr/>
            <w:r>
              <w:t xml:space="preserve">Arquivos temporários do Processing em </w:t>
            </w:r>
            <w:r>
              <w:rPr>
                <w:rStyle w:val="CodeChar"/>
              </w:rPr>
              <w:t xml:space="preserve">%TEMP%</w:t>
            </w:r>
          </w:p>
        </w:tc>
        <w:tc>
          <w:tcPr>
            <w:tcW w:w="3120" w:type="dxa"/>
          </w:tcPr>
          <w:p>
            <w:pPr/>
            <w:r>
              <w:t xml:space="preserve">Saídas temporárias somem ao fechar o QGIS; um </w:t>
            </w:r>
            <w:r>
              <w:rPr>
                <w:rStyle w:val="CodeChar"/>
              </w:rPr>
              <w:t xml:space="preserve">%TEMP%</w:t>
            </w:r>
            <w:r>
              <w:t xml:space="preserve"> com caminho longo agrava o problema do MAX_PATH</w:t>
            </w:r>
          </w:p>
        </w:tc>
        <w:tc>
          <w:tcPr>
            <w:tcW w:w="3120" w:type="dxa"/>
          </w:tcPr>
          <w:p>
            <w:pPr/>
            <w:r>
              <w:t xml:space="preserve">Sempre salvar a saída num arquivo nomeado</w:t>
            </w:r>
          </w:p>
        </w:tc>
      </w:tr>
    </w:tbl>
    <w:p>
      <w:pPr>
        <w:pStyle w:val="Heading2"/>
      </w:pPr>
      <w:r>
        <w:t xml:space="preserve">Checklist dos erros silenciosos</w:t>
      </w:r>
    </w:p>
    <w:p>
      <w:pPr/>
      <w:r>
        <w:t xml:space="preserve">Erros que não geram mensagem — só resultado errado. Quando algo "não bate", percorrer esta lista antes de desconfiar do dado.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Sintoma</w:t>
            </w:r>
          </w:p>
        </w:tc>
        <w:tc>
          <w:tcPr>
            <w:tcW w:w="2340" w:type="dxa"/>
            <w:shd w:val="clear" w:color="auto" w:fill="F2F2F2"/>
          </w:tcPr>
          <w:p>
            <w:pPr/>
            <w:r>
              <w:t xml:space="preserve">Causa provável</w:t>
            </w:r>
          </w:p>
        </w:tc>
        <w:tc>
          <w:tcPr>
            <w:tcW w:w="2340" w:type="dxa"/>
            <w:shd w:val="clear" w:color="auto" w:fill="F2F2F2"/>
          </w:tcPr>
          <w:p>
            <w:pPr/>
            <w:r>
              <w:t xml:space="preserve">Verificação</w:t>
            </w:r>
          </w:p>
        </w:tc>
      </w:tr>
      <w:tr>
        <w:tc>
          <w:tcPr>
            <w:tcW w:w="2340" w:type="dxa"/>
          </w:tcPr>
          <w:p>
            <w:pPr/>
            <w:r>
              <w:t xml:space="preserve">1</w:t>
            </w:r>
          </w:p>
        </w:tc>
        <w:tc>
          <w:tcPr>
            <w:tcW w:w="2340" w:type="dxa"/>
          </w:tcPr>
          <w:p>
            <w:pPr/>
            <w:r>
              <w:t xml:space="preserve">Filtro ou join retorna zero linhas</w:t>
            </w:r>
          </w:p>
        </w:tc>
        <w:tc>
          <w:tcPr>
            <w:tcW w:w="2340" w:type="dxa"/>
          </w:tcPr>
          <w:p>
            <w:pPr/>
            <w:r>
              <w:t xml:space="preserve">Acento, maiúscula, espaço no fim, </w:t>
            </w:r>
            <w:r>
              <w:rPr>
                <w:rStyle w:val="CodeChar"/>
              </w:rPr>
              <w:t xml:space="preserve">''</w:t>
            </w:r>
            <w:r>
              <w:t xml:space="preserve"> em vez de NULL</w:t>
            </w:r>
          </w:p>
        </w:tc>
        <w:tc>
          <w:tcPr>
            <w:tcW w:w="2340" w:type="dxa"/>
          </w:tcPr>
          <w:p>
            <w:pPr/>
            <w:r>
              <w:rPr>
                <w:rStyle w:val="CodeChar"/>
              </w:rPr>
              <w:t xml:space="preserve">length()</w:t>
            </w:r>
            <w:r>
              <w:t xml:space="preserve">, </w:t>
            </w:r>
            <w:r>
              <w:rPr>
                <w:rStyle w:val="CodeChar"/>
              </w:rPr>
              <w:t xml:space="preserve">trim()</w:t>
            </w:r>
            <w:r>
              <w:t xml:space="preserve">, </w:t>
            </w:r>
            <w:r>
              <w:rPr>
                <w:rStyle w:val="CodeChar"/>
              </w:rPr>
              <w:t xml:space="preserve">unaccent()</w:t>
            </w:r>
            <w:r>
              <w:t xml:space="preserve">, </w:t>
            </w:r>
            <w:r>
              <w:rPr>
                <w:rStyle w:val="CodeChar"/>
              </w:rPr>
              <w:t xml:space="preserve">lower()</w:t>
            </w:r>
          </w:p>
        </w:tc>
      </w:tr>
      <w:tr>
        <w:tc>
          <w:tcPr>
            <w:tcW w:w="2340" w:type="dxa"/>
          </w:tcPr>
          <w:p>
            <w:pPr/>
            <w:r>
              <w:t xml:space="preserve">2</w:t>
            </w:r>
          </w:p>
        </w:tc>
        <w:tc>
          <w:tcPr>
            <w:tcW w:w="2340" w:type="dxa"/>
          </w:tcPr>
          <w:p>
            <w:pPr/>
            <w:r>
              <w:t xml:space="preserve">Campo "sumiu" ou tem outro nome</w:t>
            </w:r>
          </w:p>
        </w:tc>
        <w:tc>
          <w:tcPr>
            <w:tcW w:w="2340" w:type="dxa"/>
          </w:tcPr>
          <w:p>
            <w:pPr/>
            <w:r>
              <w:t xml:space="preserve">Truncado a 10 caracteres (shape) ou 63 bytes (PostgreSQL)</w:t>
            </w:r>
          </w:p>
        </w:tc>
        <w:tc>
          <w:tcPr>
            <w:tcW w:w="2340" w:type="dxa"/>
          </w:tcPr>
          <w:p>
            <w:pPr/>
            <w:r>
              <w:rPr>
                <w:rStyle w:val="CodeChar"/>
              </w:rPr>
              <w:t xml:space="preserve">\d tabela</w:t>
            </w:r>
            <w:r>
              <w:t xml:space="preserve">; ler o aviso do export</w:t>
            </w:r>
          </w:p>
        </w:tc>
      </w:tr>
      <w:tr>
        <w:tc>
          <w:tcPr>
            <w:tcW w:w="2340" w:type="dxa"/>
          </w:tcPr>
          <w:p>
            <w:pPr/>
            <w:r>
              <w:t xml:space="preserve">3</w:t>
            </w:r>
          </w:p>
        </w:tc>
        <w:tc>
          <w:tcPr>
            <w:tcW w:w="2340" w:type="dxa"/>
          </w:tcPr>
          <w:p>
            <w:pPr/>
            <w:r>
              <w:t xml:space="preserve">Texto termina no meio</w:t>
            </w:r>
          </w:p>
        </w:tc>
        <w:tc>
          <w:tcPr>
            <w:tcW w:w="2340" w:type="dxa"/>
          </w:tcPr>
          <w:p>
            <w:pPr/>
            <w:r>
              <w:t xml:space="preserve">Limite de 254 caracteres do DBF</w:t>
            </w:r>
          </w:p>
        </w:tc>
        <w:tc>
          <w:tcPr>
            <w:tcW w:w="2340" w:type="dxa"/>
          </w:tcPr>
          <w:p>
            <w:pPr/>
            <w:r>
              <w:rPr>
                <w:rStyle w:val="CodeChar"/>
              </w:rPr>
              <w:t xml:space="preserve">max(length(campo))</w:t>
            </w:r>
            <w:r>
              <w:t xml:space="preserve"> na origem × destino</w:t>
            </w:r>
          </w:p>
        </w:tc>
      </w:tr>
      <w:tr>
        <w:tc>
          <w:tcPr>
            <w:tcW w:w="2340" w:type="dxa"/>
          </w:tcPr>
          <w:p>
            <w:pPr/>
            <w:r>
              <w:t xml:space="preserve">4</w:t>
            </w:r>
          </w:p>
        </w:tc>
        <w:tc>
          <w:tcPr>
            <w:tcW w:w="2340" w:type="dxa"/>
          </w:tcPr>
          <w:p>
            <w:pPr/>
            <w:r>
              <w:t xml:space="preserve">Mapa deslocado dezenas de metros</w:t>
            </w:r>
          </w:p>
        </w:tc>
        <w:tc>
          <w:tcPr>
            <w:tcW w:w="2340" w:type="dxa"/>
          </w:tcPr>
          <w:p>
            <w:pPr/>
            <w:r>
              <w:t xml:space="preserve">CRS assumido errado no import, reprojetado em tela</w:t>
            </w:r>
          </w:p>
        </w:tc>
        <w:tc>
          <w:tcPr>
            <w:tcW w:w="2340" w:type="dxa"/>
          </w:tcPr>
          <w:p>
            <w:pPr/>
            <w:r>
              <w:rPr>
                <w:rStyle w:val="CodeChar"/>
              </w:rPr>
              <w:t xml:space="preserve">ST_SRID(geom)</w:t>
            </w:r>
            <w:r>
              <w:t xml:space="preserve">; comparar com um dado de referência</w:t>
            </w:r>
          </w:p>
        </w:tc>
      </w:tr>
      <w:tr>
        <w:tc>
          <w:tcPr>
            <w:tcW w:w="2340" w:type="dxa"/>
          </w:tcPr>
          <w:p>
            <w:pPr/>
            <w:r>
              <w:t xml:space="preserve">5</w:t>
            </w:r>
          </w:p>
        </w:tc>
        <w:tc>
          <w:tcPr>
            <w:tcW w:w="2340" w:type="dxa"/>
          </w:tcPr>
          <w:p>
            <w:pPr/>
            <w:r>
              <w:t xml:space="preserve">Cruzamento espacial deixa feições de fora</w:t>
            </w:r>
          </w:p>
        </w:tc>
        <w:tc>
          <w:tcPr>
            <w:tcW w:w="2340" w:type="dxa"/>
          </w:tcPr>
          <w:p>
            <w:pPr/>
            <w:r>
              <w:t xml:space="preserve">Geometria inválida em predicado (</w:t>
            </w:r>
            <w:r>
              <w:rPr>
                <w:rStyle w:val="CodeChar"/>
              </w:rPr>
              <w:t xml:space="preserve">ST_Intersects</w:t>
            </w:r>
            <w:r>
              <w:t xml:space="preserve">)</w:t>
            </w:r>
          </w:p>
        </w:tc>
        <w:tc>
          <w:tcPr>
            <w:tcW w:w="2340" w:type="dxa"/>
          </w:tcPr>
          <w:p>
            <w:pPr/>
            <w:r>
              <w:rPr>
                <w:rStyle w:val="CodeChar"/>
              </w:rPr>
              <w:t xml:space="preserve">ST_IsValid(geom)</w:t>
            </w:r>
          </w:p>
        </w:tc>
      </w:tr>
      <w:tr>
        <w:tc>
          <w:tcPr>
            <w:tcW w:w="2340" w:type="dxa"/>
          </w:tcPr>
          <w:p>
            <w:pPr/>
            <w:r>
              <w:t xml:space="preserve">6</w:t>
            </w:r>
          </w:p>
        </w:tc>
        <w:tc>
          <w:tcPr>
            <w:tcW w:w="2340" w:type="dxa"/>
          </w:tcPr>
          <w:p>
            <w:pPr/>
            <w:r>
              <w:rPr>
                <w:rStyle w:val="CodeChar"/>
              </w:rPr>
              <w:t xml:space="preserve">ORDER BY</w:t>
            </w:r>
            <w:r>
              <w:t xml:space="preserve"> fora de ordem</w:t>
            </w:r>
          </w:p>
        </w:tc>
        <w:tc>
          <w:tcPr>
            <w:tcW w:w="2340" w:type="dxa"/>
          </w:tcPr>
          <w:p>
            <w:pPr/>
            <w:r>
              <w:t xml:space="preserve">Collation </w:t>
            </w:r>
            <w:r>
              <w:rPr>
                <w:rStyle w:val="CodeChar"/>
              </w:rPr>
              <w:t xml:space="preserve">C</w:t>
            </w:r>
            <w:r>
              <w:t xml:space="preserve">, ou número guardado como texto</w:t>
            </w:r>
          </w:p>
        </w:tc>
        <w:tc>
          <w:tcPr>
            <w:tcW w:w="2340" w:type="dxa"/>
          </w:tcPr>
          <w:p>
            <w:pPr/>
            <w:r>
              <w:rPr>
                <w:rStyle w:val="CodeChar"/>
              </w:rPr>
              <w:t xml:space="preserve">datcollate</w:t>
            </w:r>
            <w:r>
              <w:t xml:space="preserve">; tipo da coluna</w:t>
            </w:r>
          </w:p>
        </w:tc>
      </w:tr>
      <w:tr>
        <w:tc>
          <w:tcPr>
            <w:tcW w:w="2340" w:type="dxa"/>
          </w:tcPr>
          <w:p>
            <w:pPr/>
            <w:r>
              <w:t xml:space="preserve">7</w:t>
            </w:r>
          </w:p>
        </w:tc>
        <w:tc>
          <w:tcPr>
            <w:tcW w:w="2340" w:type="dxa"/>
          </w:tcPr>
          <w:p>
            <w:pPr/>
            <w:r>
              <w:t xml:space="preserve">Zoom para a camada vai para o lugar errado</w:t>
            </w:r>
          </w:p>
        </w:tc>
        <w:tc>
          <w:tcPr>
            <w:tcW w:w="2340" w:type="dxa"/>
          </w:tcPr>
          <w:p>
            <w:pPr/>
            <w:r>
              <w:t xml:space="preserve">Metadados estimados sem </w:t>
            </w:r>
            <w:r>
              <w:rPr>
                <w:rStyle w:val="CodeChar"/>
              </w:rPr>
              <w:t xml:space="preserve">ANALYZE</w:t>
            </w:r>
          </w:p>
        </w:tc>
        <w:tc>
          <w:tcPr>
            <w:tcW w:w="2340" w:type="dxa"/>
          </w:tcPr>
          <w:p>
            <w:pPr/>
            <w:r>
              <w:rPr>
                <w:rStyle w:val="CodeChar"/>
              </w:rPr>
              <w:t xml:space="preserve">ANALYZE tabela</w:t>
            </w:r>
          </w:p>
        </w:tc>
      </w:tr>
      <w:tr>
        <w:tc>
          <w:tcPr>
            <w:tcW w:w="2340" w:type="dxa"/>
          </w:tcPr>
          <w:p>
            <w:pPr/>
            <w:r>
              <w:t xml:space="preserve">8</w:t>
            </w:r>
          </w:p>
        </w:tc>
        <w:tc>
          <w:tcPr>
            <w:tcW w:w="2340" w:type="dxa"/>
          </w:tcPr>
          <w:p>
            <w:pPr/>
            <w:r>
              <w:t xml:space="preserve">Processing gera saída vazia</w:t>
            </w:r>
          </w:p>
        </w:tc>
        <w:tc>
          <w:tcPr>
            <w:tcW w:w="2340" w:type="dxa"/>
          </w:tcPr>
          <w:p>
            <w:pPr/>
            <w:r>
              <w:t xml:space="preserve">Acento ou espaço no caminho (GRASS/SAGA)</w:t>
            </w:r>
          </w:p>
        </w:tc>
        <w:tc>
          <w:tcPr>
            <w:tcW w:w="2340" w:type="dxa"/>
          </w:tcPr>
          <w:p>
            <w:pPr/>
            <w:r>
              <w:t xml:space="preserve">Mover para </w:t>
            </w:r>
            <w:r>
              <w:rPr>
                <w:rStyle w:val="CodeChar"/>
              </w:rPr>
              <w:t xml:space="preserve">C:\gis\</w:t>
            </w:r>
            <w:r>
              <w:t xml:space="preserve"> e repetir</w:t>
            </w:r>
          </w:p>
        </w:tc>
      </w:tr>
      <w:tr>
        <w:tc>
          <w:tcPr>
            <w:tcW w:w="2340" w:type="dxa"/>
          </w:tcPr>
          <w:p>
            <w:pPr/>
            <w:r>
              <w:t xml:space="preserve">9</w:t>
            </w:r>
          </w:p>
        </w:tc>
        <w:tc>
          <w:tcPr>
            <w:tcW w:w="2340" w:type="dxa"/>
          </w:tcPr>
          <w:p>
            <w:pPr/>
            <w:r>
              <w:t xml:space="preserve">Edição feita, depois perdida</w:t>
            </w:r>
          </w:p>
        </w:tc>
        <w:tc>
          <w:tcPr>
            <w:tcW w:w="2340" w:type="dxa"/>
          </w:tcPr>
          <w:p>
            <w:pPr/>
            <w:r>
              <w:t xml:space="preserve">Tabela sem chave primária inteira (QGIS usa </w:t>
            </w:r>
            <w:r>
              <w:rPr>
                <w:rStyle w:val="CodeChar"/>
              </w:rPr>
              <w:t xml:space="preserve">ctid</w:t>
            </w:r>
            <w:r>
              <w:t xml:space="preserve">)</w:t>
            </w:r>
          </w:p>
        </w:tc>
        <w:tc>
          <w:tcPr>
            <w:tcW w:w="2340" w:type="dxa"/>
          </w:tcPr>
          <w:p>
            <w:pPr/>
            <w:r>
              <w:rPr>
                <w:rStyle w:val="CodeChar"/>
              </w:rPr>
              <w:t xml:space="preserve">\d tabela</w:t>
            </w:r>
            <w:r>
              <w:t xml:space="preserve"> — precisa de PK</w:t>
            </w:r>
          </w:p>
        </w:tc>
      </w:tr>
      <w:tr>
        <w:tc>
          <w:tcPr>
            <w:tcW w:w="2340" w:type="dxa"/>
          </w:tcPr>
          <w:p>
            <w:pPr/>
            <w:r>
              <w:t xml:space="preserve">10</w:t>
            </w:r>
          </w:p>
        </w:tc>
        <w:tc>
          <w:tcPr>
            <w:tcW w:w="2340" w:type="dxa"/>
          </w:tcPr>
          <w:p>
            <w:pPr/>
            <w:r>
              <w:t xml:space="preserve">Projeto abre com dado antigo</w:t>
            </w:r>
          </w:p>
        </w:tc>
        <w:tc>
          <w:tcPr>
            <w:tcW w:w="2340" w:type="dxa"/>
          </w:tcPr>
          <w:p>
            <w:pPr/>
            <w:r>
              <w:t xml:space="preserve">Caminho absoluto apontando para cópia velha</w:t>
            </w:r>
          </w:p>
        </w:tc>
        <w:tc>
          <w:tcPr>
            <w:tcW w:w="2340" w:type="dxa"/>
          </w:tcPr>
          <w:p>
            <w:pPr/>
            <w:r>
              <w:t xml:space="preserve">Propriedades da camada → Fonte</w:t>
            </w:r>
          </w:p>
        </w:tc>
      </w:tr>
      <w:tr>
        <w:tc>
          <w:tcPr>
            <w:tcW w:w="2340" w:type="dxa"/>
          </w:tcPr>
          <w:p>
            <w:pPr/>
            <w:r>
              <w:t xml:space="preserve">11</w:t>
            </w:r>
          </w:p>
        </w:tc>
        <w:tc>
          <w:tcPr>
            <w:tcW w:w="2340" w:type="dxa"/>
          </w:tcPr>
          <w:p>
            <w:pPr/>
            <w:r>
              <w:t xml:space="preserve">Só parte das feições aparece</w:t>
            </w:r>
          </w:p>
        </w:tc>
        <w:tc>
          <w:tcPr>
            <w:tcW w:w="2340" w:type="dxa"/>
          </w:tcPr>
          <w:p>
            <w:pPr/>
            <w:r>
              <w:t xml:space="preserve">Polygon e MultiPolygon misturados na coluna</w:t>
            </w:r>
          </w:p>
        </w:tc>
        <w:tc>
          <w:tcPr>
            <w:tcW w:w="2340" w:type="dxa"/>
          </w:tcPr>
          <w:p>
            <w:pPr/>
            <w:r>
              <w:rPr>
                <w:rStyle w:val="CodeChar"/>
              </w:rPr>
              <w:t xml:space="preserve">SELECT DISTINCT GeometryType(geom)</w:t>
            </w:r>
          </w:p>
        </w:tc>
      </w:tr>
      <w:tr>
        <w:tc>
          <w:tcPr>
            <w:tcW w:w="2340" w:type="dxa"/>
          </w:tcPr>
          <w:p>
            <w:pPr/>
            <w:r>
              <w:t xml:space="preserve">12</w:t>
            </w:r>
          </w:p>
        </w:tc>
        <w:tc>
          <w:tcPr>
            <w:tcW w:w="2340" w:type="dxa"/>
          </w:tcPr>
          <w:p>
            <w:pPr/>
            <w:r>
              <w:t xml:space="preserve">Camada abre, mas sem atributos</w:t>
            </w:r>
          </w:p>
        </w:tc>
        <w:tc>
          <w:tcPr>
            <w:tcW w:w="2340" w:type="dxa"/>
          </w:tcPr>
          <w:p>
            <w:pPr/>
            <w:r>
              <w:t xml:space="preserve">Faltou o </w:t>
            </w:r>
            <w:r>
              <w:rPr>
                <w:rStyle w:val="CodeChar"/>
              </w:rPr>
              <w:t xml:space="preserve">.dbf</w:t>
            </w:r>
            <w:r>
              <w:t xml:space="preserve">, ou </w:t>
            </w:r>
            <w:r>
              <w:rPr>
                <w:rStyle w:val="CodeChar"/>
              </w:rPr>
              <w:t xml:space="preserve">.shp</w:t>
            </w:r>
            <w:r>
              <w:t xml:space="preserve"> e </w:t>
            </w:r>
            <w:r>
              <w:rPr>
                <w:rStyle w:val="CodeChar"/>
              </w:rPr>
              <w:t xml:space="preserve">.dbf</w:t>
            </w:r>
            <w:r>
              <w:t xml:space="preserve"> com caixa diferente no Linux</w:t>
            </w:r>
          </w:p>
        </w:tc>
        <w:tc>
          <w:tcPr>
            <w:tcW w:w="2340" w:type="dxa"/>
          </w:tcPr>
          <w:p>
            <w:pPr/>
            <w:r>
              <w:t xml:space="preserve">Conferir os arquivos auxiliares</w:t>
            </w:r>
          </w:p>
        </w:tc>
      </w:tr>
    </w:tbl>
    <w:p>
      <w:pPr>
        <w:pStyle w:val="Heading2"/>
      </w:pPr>
      <w:r>
        <w:t xml:space="preserve">Exercício prático: o shapefile sujo</w:t>
      </w:r>
    </w:p>
    <w:p>
      <w:pPr/>
      <w:r>
        <w:t xml:space="preserve">O kit da aula traz </w:t>
      </w:r>
      <w:r>
        <w:rPr>
          <w:rStyle w:val="CodeChar"/>
        </w:rPr>
        <w:t xml:space="preserve">bairros_sujo.shp</w:t>
      </w:r>
      <w:r>
        <w:t xml:space="preserve">, um shapefile com todas as armadilhas acima ao mesmo tempo, e </w:t>
      </w:r>
      <w:r>
        <w:rPr>
          <w:rStyle w:val="CodeChar"/>
        </w:rPr>
        <w:t xml:space="preserve">bairros_fonte.geojson</w:t>
      </w:r>
      <w:r>
        <w:t xml:space="preserve">, a versão limpa da origem. O objetivo é importar no PostGIS e responder três perguntas — cada uma esbarra em pelo menos uma armadilha.</w:t>
      </w:r>
    </w:p>
    <w:p>
      <w:pPr/>
      <w:r>
        <w:rPr>
          <w:b/>
        </w:rPr>
        <w:t xml:space="preserve">O que o arquivo tem de errado (não contar para a turma antes):</w:t>
      </w:r>
    </w:p>
    <w:p>
      <w:pPr>
        <w:pStyle w:val="ListParagraph"/>
        <w:numPr>
          <w:ilvl w:val="0"/>
          <w:numId w:val="2"/>
        </w:numPr>
      </w:pPr>
      <w:r>
        <w:t xml:space="preserve">Sem </w:t>
      </w:r>
      <w:r>
        <w:rPr>
          <w:rStyle w:val="CodeChar"/>
        </w:rPr>
        <w:t xml:space="preserve">.cpg</w:t>
      </w:r>
      <w:r>
        <w:t xml:space="preserve"> (o texto está em Latin-1) e sem </w:t>
      </w:r>
      <w:r>
        <w:rPr>
          <w:rStyle w:val="CodeChar"/>
        </w:rPr>
        <w:t xml:space="preserve">.prj</w:t>
      </w:r>
      <w:r>
        <w:t xml:space="preserve"> (o dado está em SIRGAS 2000 / UTM 22S, EPSG 31982)</w:t>
      </w:r>
    </w:p>
    <w:p>
      <w:pPr>
        <w:pStyle w:val="ListParagraph"/>
        <w:numPr>
          <w:ilvl w:val="0"/>
          <w:numId w:val="2"/>
        </w:numPr>
      </w:pPr>
      <w:r>
        <w:t xml:space="preserve">Campo chamado </w:t>
      </w:r>
      <w:r>
        <w:rPr>
          <w:rStyle w:val="CodeChar"/>
        </w:rPr>
        <w:t xml:space="preserve">ORDER</w:t>
      </w:r>
      <w:r>
        <w:t xml:space="preserve"> (palavra reservada) e campo </w:t>
      </w:r>
      <w:r>
        <w:rPr>
          <w:rStyle w:val="CodeChar"/>
        </w:rPr>
        <w:t xml:space="preserve">NOME</w:t>
      </w:r>
      <w:r>
        <w:t xml:space="preserve"> em maiúsculas</w:t>
      </w:r>
    </w:p>
    <w:p>
      <w:pPr>
        <w:pStyle w:val="ListParagraph"/>
        <w:numPr>
          <w:ilvl w:val="0"/>
          <w:numId w:val="2"/>
        </w:numPr>
      </w:pPr>
      <w:r>
        <w:t xml:space="preserve">Um nome com espaço no fim, um nome vazio (</w:t>
      </w:r>
      <w:r>
        <w:rPr>
          <w:rStyle w:val="CodeChar"/>
        </w:rPr>
        <w:t xml:space="preserve">''</w:t>
      </w:r>
      <w:r>
        <w:t xml:space="preserve">), nomes com acento</w:t>
      </w:r>
    </w:p>
    <w:p>
      <w:pPr>
        <w:pStyle w:val="ListParagraph"/>
        <w:numPr>
          <w:ilvl w:val="0"/>
          <w:numId w:val="2"/>
        </w:numPr>
      </w:pPr>
      <w:r>
        <w:rPr>
          <w:rStyle w:val="CodeChar"/>
        </w:rPr>
        <w:t xml:space="preserve">AREA_HA</w:t>
      </w:r>
      <w:r>
        <w:t xml:space="preserve"> e </w:t>
      </w:r>
      <w:r>
        <w:rPr>
          <w:rStyle w:val="CodeChar"/>
        </w:rPr>
        <w:t xml:space="preserve">POP</w:t>
      </w:r>
      <w:r>
        <w:t xml:space="preserve"> guardados como texto, um deles com vírgula decimal</w:t>
      </w:r>
    </w:p>
    <w:p>
      <w:pPr>
        <w:pStyle w:val="ListParagraph"/>
        <w:numPr>
          <w:ilvl w:val="0"/>
          <w:numId w:val="2"/>
        </w:numPr>
      </w:pPr>
      <w:r>
        <w:t xml:space="preserve">Um polígono inválido (auto-interseção) e uma feição multipartes</w:t>
      </w:r>
    </w:p>
    <w:p>
      <w:pPr>
        <w:pStyle w:val="ListParagraph"/>
        <w:numPr>
          <w:ilvl w:val="0"/>
          <w:numId w:val="2"/>
        </w:numPr>
      </w:pPr>
      <w:r>
        <w:t xml:space="preserve">No GeoJSON de origem: nome de campo com mais de 10 caracteres e uma descrição com mais de 254 caracteres, para o exercício de exportação</w:t>
      </w:r>
    </w:p>
    <w:p>
      <w:pPr/>
      <w:r>
        <w:rPr>
          <w:b/>
        </w:rPr>
        <w:t xml:space="preserve">Passos:</w:t>
      </w:r>
    </w:p>
    <w:p>
      <w:pPr>
        <w:pStyle w:val="ListParagraph"/>
        <w:numPr>
          <w:ilvl w:val="0"/>
          <w:numId w:val="3"/>
        </w:numPr>
      </w:pPr>
      <w:r>
        <w:t xml:space="preserve">Descompactar o kit em </w:t>
      </w:r>
      <w:r>
        <w:rPr>
          <w:rStyle w:val="CodeChar"/>
        </w:rPr>
        <w:t xml:space="preserve">C:\Users\&lt;seu usuário&gt;\Área de Trabalho\Aula QGIS\</w:t>
      </w:r>
      <w:r>
        <w:t xml:space="preserve"> (com acento e espaço, de propósito).</w:t>
      </w:r>
    </w:p>
    <w:p>
      <w:pPr>
        <w:pStyle w:val="ListParagraph"/>
        <w:numPr>
          <w:ilvl w:val="0"/>
          <w:numId w:val="3"/>
        </w:numPr>
      </w:pPr>
      <w:r>
        <w:t xml:space="preserve">Abrir </w:t>
      </w:r>
      <w:r>
        <w:rPr>
          <w:rStyle w:val="CodeChar"/>
        </w:rPr>
        <w:t xml:space="preserve">bairros_sujo.shp</w:t>
      </w:r>
      <w:r>
        <w:t xml:space="preserve"> no QGIS. Observar: que CRS o QGIS assumiu? Como aparecem os nomes na tabela de atributos?</w:t>
      </w:r>
    </w:p>
    <w:p>
      <w:pPr>
        <w:pStyle w:val="ListParagraph"/>
        <w:numPr>
          <w:ilvl w:val="0"/>
          <w:numId w:val="3"/>
        </w:numPr>
      </w:pPr>
      <w:r>
        <w:t xml:space="preserve">Corrigir a codificação nas propriedades da camada (Fonte → Codificação → ISO-8859-1) e definir o CRS como EPSG 31982.</w:t>
      </w:r>
    </w:p>
    <w:p>
      <w:pPr>
        <w:pStyle w:val="ListParagraph"/>
        <w:numPr>
          <w:ilvl w:val="0"/>
          <w:numId w:val="3"/>
        </w:numPr>
      </w:pPr>
      <w:r>
        <w:t xml:space="preserve">Importar para o PostGIS pelo DB Manager. Testar com e sem </w:t>
      </w:r>
      <w:r>
        <w:rPr>
          <w:i/>
        </w:rPr>
        <w:t xml:space="preserve">Converter nomes de campo para minúsculas</w:t>
      </w:r>
      <w:r>
        <w:t xml:space="preserve"> e com e sem </w:t>
      </w:r>
      <w:r>
        <w:rPr>
          <w:i/>
        </w:rPr>
        <w:t xml:space="preserve">Promover para multipartes</w:t>
      </w:r>
      <w:r>
        <w:t xml:space="preserve">.</w:t>
      </w:r>
    </w:p>
    <w:p>
      <w:pPr>
        <w:pStyle w:val="ListParagraph"/>
        <w:numPr>
          <w:ilvl w:val="0"/>
          <w:numId w:val="3"/>
        </w:numPr>
      </w:pPr>
      <w:r>
        <w:t xml:space="preserve">Rodar </w:t>
      </w:r>
      <w:r>
        <w:rPr>
          <w:rStyle w:val="CodeChar"/>
        </w:rPr>
        <w:t xml:space="preserve">demo.sql</w:t>
      </w:r>
      <w:r>
        <w:t xml:space="preserve"> bloco a bloco e comparar com o gabarito nos comentários.</w:t>
      </w:r>
    </w:p>
    <w:p>
      <w:pPr>
        <w:pStyle w:val="ListParagraph"/>
        <w:numPr>
          <w:ilvl w:val="0"/>
          <w:numId w:val="3"/>
        </w:numPr>
      </w:pPr>
      <w:r>
        <w:t xml:space="preserve">Responder:</w:t>
      </w:r>
    </w:p>
    <w:p>
      <w:pPr>
        <w:pStyle w:val="ListParagraph"/>
        <w:numPr>
          <w:ilvl w:val="1"/>
          <w:numId w:val="4"/>
        </w:numPr>
      </w:pPr>
      <w:r>
        <w:t xml:space="preserve">Quantos bairros se chamam "São José"? (o esperado é 2; a busca ingênua acha 0 ou 1)</w:t>
      </w:r>
    </w:p>
    <w:p>
      <w:pPr>
        <w:pStyle w:val="ListParagraph"/>
        <w:numPr>
          <w:ilvl w:val="1"/>
          <w:numId w:val="4"/>
        </w:numPr>
      </w:pPr>
      <w:r>
        <w:t xml:space="preserve">Qual bairro tem a maior área em hectares? (ordenar como texto dá a resposta errada)</w:t>
      </w:r>
    </w:p>
    <w:p>
      <w:pPr>
        <w:pStyle w:val="ListParagraph"/>
        <w:numPr>
          <w:ilvl w:val="1"/>
          <w:numId w:val="4"/>
        </w:numPr>
      </w:pPr>
      <w:r>
        <w:t xml:space="preserve">Quais bairros fazem fronteira com "Centro"? (o polígono inválido fica de fora até o </w:t>
      </w:r>
      <w:r>
        <w:rPr>
          <w:rStyle w:val="CodeChar"/>
        </w:rPr>
        <w:t xml:space="preserve">ST_MakeValid</w:t>
      </w:r>
      <w:r>
        <w:t xml:space="preserve">)</w:t>
      </w:r>
    </w:p>
    <w:p>
      <w:pPr>
        <w:pStyle w:val="ListParagraph"/>
        <w:numPr>
          <w:ilvl w:val="0"/>
          <w:numId w:val="3"/>
        </w:numPr>
      </w:pPr>
      <w:r>
        <w:t xml:space="preserve">Exportar </w:t>
      </w:r>
      <w:r>
        <w:rPr>
          <w:rStyle w:val="CodeChar"/>
        </w:rPr>
        <w:t xml:space="preserve">bairros_fonte.geojson</w:t>
      </w:r>
      <w:r>
        <w:t xml:space="preserve"> para shapefile e conferir os nomes de campo e o tamanho da descrição.</w:t>
      </w:r>
    </w:p>
    <w:p>
      <w:pPr>
        <w:pStyle w:val="ListParagraph"/>
        <w:numPr>
          <w:ilvl w:val="0"/>
          <w:numId w:val="3"/>
        </w:numPr>
      </w:pPr>
      <w:r>
        <w:t xml:space="preserve">Rodar um algoritmo do GRASS (por exemplo </w:t>
      </w:r>
      <w:r>
        <w:rPr>
          <w:i/>
        </w:rPr>
        <w:t xml:space="preserve">v.buffer</w:t>
      </w:r>
      <w:r>
        <w:t xml:space="preserve">) com a camada na pasta com acento; depois mover para </w:t>
      </w:r>
      <w:r>
        <w:rPr>
          <w:rStyle w:val="CodeChar"/>
        </w:rPr>
        <w:t xml:space="preserve">C:\gis\</w:t>
      </w:r>
      <w:r>
        <w:t xml:space="preserve"> e repetir.</w:t>
      </w:r>
    </w:p>
    <w:p>
      <w:pPr/>
      <w:r>
        <w:t xml:space="preserve">O ponto da aula não é decorar a lista: é criar o hábito de perguntar "o que esse resultado silencioso pode estar escondendo?" antes de aceitar zero linhas, um mapa bonito ou uma ordenação estranha.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QGIS + PostGIS erros silenciosos que ninguém avisa</dc:title>
  <dc:description>Claude Docs node/0b146ca3-adfb@9 docx-w5</dc:description>
  <cp:revision>9</cp:revision>
</cp:coreProperties>
</file>