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B8AEB" w14:textId="77777777" w:rsidR="00924730" w:rsidRPr="006609B7" w:rsidRDefault="00924730" w:rsidP="00924730">
      <w:pPr>
        <w:keepNext/>
        <w:spacing w:after="2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Causal Phase Recognition for Wall-Normal Shared Control in Remote Robotic Painting</w:t>
      </w:r>
    </w:p>
    <w:p w14:paraId="46C320BC" w14:textId="77777777" w:rsidR="00924730" w:rsidRPr="00AC6425" w:rsidRDefault="00924730" w:rsidP="00924730">
      <w:pPr>
        <w:pStyle w:val="1"/>
        <w:keepNext/>
        <w:numPr>
          <w:ilvl w:val="0"/>
          <w:numId w:val="3"/>
        </w:numPr>
        <w:tabs>
          <w:tab w:val="num" w:pos="360"/>
        </w:tabs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Introduction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Motivation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Observation from the preceding remote-painting experiment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Persistent difficulty maintaining detailed EOAT–wall contact during teleoperation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Concurrent operator demand: tangential path control and wall-normal contact correction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Shared-control opportunity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Operator authority over tangential painting motion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Robot assistance for the wall-normal component and contact regulation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Need for causal phase recognition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Phase-dependent assistance logic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FREE MOTION: assistance disengagement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APPROACH: safe convergence without premature contact locking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PAINTING: wall-normal regulation during surface interaction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RETRACT: prompt assistance release without resisting withdrawal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No fixed phase order; no imposed minimum phase duration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Operational risk from delayed, missed, or spurious phase transitions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Research problem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Rule-based logic versus data-driven causal classifiers under a common input and replay protocol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Dominant PAINTING class versus brief APPROACH and RETRACT intervals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Generalization across training-set composition, trials, and participants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Study aim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Comparative evaluation of deterministic, framewise, probabilistic sequential, and recurrent models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Effect of four-trial training-set composition and participant-independent generalization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Research questions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RQ1. Which causal model offers the most useful trade-off among phase F1, transition behavior, and interpretability?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RQ2. How do four-trial composition and participant holdout alter causal classification performance?</w:t>
      </w:r>
    </w:p>
    <w:p w14:paraId="46C320BC" w14:textId="77777777" w:rsidR="00924730" w:rsidRPr="00AC6425" w:rsidRDefault="00924730" w:rsidP="00924730">
      <w:pPr>
        <w:pStyle w:val="1"/>
        <w:keepNext/>
        <w:numPr>
          <w:ilvl w:val="0"/>
          <w:numId w:val="3"/>
        </w:numPr>
        <w:tabs>
          <w:tab w:val="num" w:pos="360"/>
        </w:tabs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Study Data and Phase Definition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Source dataset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Preceding remote robotic painting experiment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Six participants; four visual-interface conditions; 22 trials; 61 continuous sequences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208,430 labeled frames; 207,488 frames with valid causal features; 115.8 min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Causal input representation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12 dimensions per frame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TCP force: x, y, z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Position relative to trial start: x, y, z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Backward-difference velocity: x, y, z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Backward-difference acceleration: x, y, z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Training-set standardization only; no future-frame features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Manual phase labels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FREE MOTION, APPROACH, PAINTING, RETRACT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Dataset distribution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FREE MOTION: 29.6%; APPROACH: 5.0%; PAINTING: 62.7%; RETRACT: 2.8%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Minority-phase emphasis: APPROACH and RETRACT</w:t>
      </w:r>
    </w:p>
    <w:p w14:paraId="46C320BC" w14:textId="77777777" w:rsidR="00924730" w:rsidRPr="00AC6425" w:rsidRDefault="00924730" w:rsidP="00924730">
      <w:pPr>
        <w:pStyle w:val="1"/>
        <w:keepNext/>
        <w:numPr>
          <w:ilvl w:val="0"/>
          <w:numId w:val="3"/>
        </w:numPr>
        <w:tabs>
          <w:tab w:val="num" w:pos="360"/>
        </w:tabs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Causal Phase-Recognition Methods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Causal FSM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Training-calibrated force and motion thresholds; deterministic online state logic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Random Forest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Nonlinear framewise tree ensemble; independent prediction per observation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Gaussian Mixture Model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Phase-conditional mixture likelihoods; framewise maximum-posterior prediction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Gaussian HMM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Single-Gaussian state emissions; causal forward filtering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GMM-HMM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Mixture emissions with learned state transitions; causal forward filtering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Causal LSTM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One-layer recurrent classifier; 64 hidden units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120-frame training chunks; batch size 32; 20 epochs; learning rate 0.001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Unweighted cross-entropy; persistent hidden state during one-frame online replay</w:t>
      </w:r>
    </w:p>
    <w:p w14:paraId="46C320BC" w14:textId="77777777" w:rsidR="00924730" w:rsidRPr="00AC6425" w:rsidRDefault="00924730" w:rsidP="00924730">
      <w:pPr>
        <w:pStyle w:val="1"/>
        <w:keepNext/>
        <w:numPr>
          <w:ilvl w:val="0"/>
          <w:numId w:val="3"/>
        </w:numPr>
        <w:tabs>
          <w:tab w:val="num" w:pos="360"/>
        </w:tabs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Evaluation Protocol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Training-structure comparison; common held-out trial 08_01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Participant-specific: 10_01–10_04; four trials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Single-interface: 06_01, 07_01, 10_01, 11_01; four trials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Diversity-balanced: 06_03, 09_04, 10_01, 11_02; four trials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Participant-independent evaluation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Leave-one-participant-out; six held-out participant folds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Online replay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One observation per model step; temporal state reset only at sequence boundaries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No future frames; no test-trial scaler fitting; no test-trial model fitting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Metrics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t>Frame classification: ±1.0-s temporal-tolerance accuracy; strict full-sequence Macro F1 and per-phase F1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t>Transition detection: precision, recall, and F1 for the same from-to phase event matched one-to-one within ±1.0 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Operational stability: false transitions, absolute transition delay, inference time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t>Tolerance rule: a phase prediction is accepted by tolerant accuracy when the same manual phase occurs within ±1.0 s in the same contiguous sequence; full-sequence F1 remains exact frame-by-frame</w:t>
      </w:r>
    </w:p>
    <w:p w14:paraId="46C320BC" w14:textId="77777777" w:rsidR="00924730" w:rsidRPr="00AC6425" w:rsidRDefault="00924730" w:rsidP="00924730">
      <w:pPr>
        <w:pStyle w:val="1"/>
        <w:keepNext/>
        <w:numPr>
          <w:ilvl w:val="0"/>
          <w:numId w:val="3"/>
        </w:numPr>
        <w:tabs>
          <w:tab w:val="num" w:pos="360"/>
        </w:tabs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Results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Four-trial training-set composition (Tables 1–4; Figures 1–4)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With four training trials, model ranking depended on how the trials were selected; no four-trial structure dominated every model.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Random Forest remained highly competitive in low-data settings, indicating a lower sample requirement than the recurrent model.</w:t>
      </w:r>
    </w:p>
    <w:p>
      <w:pPr>
        <w:keepNext/>
        <w:spacing w:before="180" w:after="0"/>
      </w:pPr>
      <w:r>
        <w:rPr>
          <w:rFonts w:ascii="Times New Roman" w:hAnsi="Times New Roman"/>
          <w:b/>
          <w:sz w:val="21"/>
        </w:rPr>
        <w:t>Table 1</w:t>
      </w:r>
    </w:p>
    <w:p>
      <w:pPr>
        <w:keepNext/>
        <w:spacing w:after="80"/>
      </w:pPr>
      <w:r>
        <w:rPr>
          <w:rFonts w:ascii="Times New Roman" w:hAnsi="Times New Roman"/>
          <w:i/>
          <w:sz w:val="21"/>
        </w:rPr>
        <w:t>Held-Out Classification Performance by Training-Set Structure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</w:tblPr>
      <w:tblGrid>
        <w:gridCol w:w="2255"/>
        <w:gridCol w:w="2255"/>
        <w:gridCol w:w="2255"/>
        <w:gridCol w:w="2255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Model</w:t>
            </w:r>
          </w:p>
        </w:tc>
        <w:tc>
          <w:tcPr>
            <w:tcW w:type="dxa" w:w="205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P10-4</w:t>
            </w:r>
          </w:p>
        </w:tc>
        <w:tc>
          <w:tcPr>
            <w:tcW w:type="dxa" w:w="205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I01-4</w:t>
            </w:r>
          </w:p>
        </w:tc>
        <w:tc>
          <w:tcPr>
            <w:tcW w:type="dxa" w:w="205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DIV-4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  <w:t>Causal FSM</w:t>
            </w:r>
          </w:p>
        </w:tc>
        <w:tc>
          <w:tcPr>
            <w:tcW w:type="dxa" w:w="205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67.1 / 25.1</w:t>
            </w:r>
          </w:p>
        </w:tc>
        <w:tc>
          <w:tcPr>
            <w:tcW w:type="dxa" w:w="205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45.8 / 26.2</w:t>
            </w:r>
          </w:p>
        </w:tc>
        <w:tc>
          <w:tcPr>
            <w:tcW w:type="dxa" w:w="205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54.4 / 23.6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  <w:t>Random Forest</w:t>
            </w:r>
          </w:p>
        </w:tc>
        <w:tc>
          <w:tcPr>
            <w:tcW w:type="dxa" w:w="205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88.3 / 48.0</w:t>
            </w:r>
          </w:p>
        </w:tc>
        <w:tc>
          <w:tcPr>
            <w:tcW w:type="dxa" w:w="205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88.9 / 54.5</w:t>
            </w:r>
          </w:p>
        </w:tc>
        <w:tc>
          <w:tcPr>
            <w:tcW w:type="dxa" w:w="205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87.5 / 41.8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  <w:t>GMM</w:t>
            </w:r>
          </w:p>
        </w:tc>
        <w:tc>
          <w:tcPr>
            <w:tcW w:type="dxa" w:w="205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80.3 / 39.7</w:t>
            </w:r>
          </w:p>
        </w:tc>
        <w:tc>
          <w:tcPr>
            <w:tcW w:type="dxa" w:w="205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83.4 / 46.8</w:t>
            </w:r>
          </w:p>
        </w:tc>
        <w:tc>
          <w:tcPr>
            <w:tcW w:type="dxa" w:w="205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82.7 / 48.6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  <w:t>Gaussian HMM</w:t>
            </w:r>
          </w:p>
        </w:tc>
        <w:tc>
          <w:tcPr>
            <w:tcW w:type="dxa" w:w="205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84.1 / 42.6</w:t>
            </w:r>
          </w:p>
        </w:tc>
        <w:tc>
          <w:tcPr>
            <w:tcW w:type="dxa" w:w="205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83.9 / 48.5</w:t>
            </w:r>
          </w:p>
        </w:tc>
        <w:tc>
          <w:tcPr>
            <w:tcW w:type="dxa" w:w="205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81.1 / 42.4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  <w:t>GMM-HMM</w:t>
            </w:r>
          </w:p>
        </w:tc>
        <w:tc>
          <w:tcPr>
            <w:tcW w:type="dxa" w:w="205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78.8 / 39.8</w:t>
            </w:r>
          </w:p>
        </w:tc>
        <w:tc>
          <w:tcPr>
            <w:tcW w:type="dxa" w:w="205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78.0 / 45.1</w:t>
            </w:r>
          </w:p>
        </w:tc>
        <w:tc>
          <w:tcPr>
            <w:tcW w:type="dxa" w:w="205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79.5 / 46.3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  <w:t>Causal LSTM</w:t>
            </w:r>
          </w:p>
        </w:tc>
        <w:tc>
          <w:tcPr>
            <w:tcW w:type="dxa" w:w="205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83.6 / 50.1</w:t>
            </w:r>
          </w:p>
        </w:tc>
        <w:tc>
          <w:tcPr>
            <w:tcW w:type="dxa" w:w="205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86.2 / 54.7</w:t>
            </w:r>
          </w:p>
        </w:tc>
        <w:tc>
          <w:tcPr>
            <w:tcW w:type="dxa" w:w="205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81.1 / 46.0</w:t>
            </w:r>
          </w:p>
        </w:tc>
      </w:tr>
    </w:tbl>
    <w:p>
      <w:pPr>
        <w:spacing w:before="60" w:after="120" w:line="240" w:lineRule="auto"/>
      </w:pPr>
      <w:r>
        <w:t>Note. Values are ±1-s tolerant accuracy / strict full-sequence Macro F1 in percentages. All models were evaluated on the same unseen trial, 08_01. P10-4 = four trials from participant 10; I01-4 = four trials from interface condition 01; DIV-4 = four condition-diverse trials.</w:t>
      </w:r>
    </w:p>
    <w:p>
      <w:pPr>
        <w:keepNext/>
        <w:pageBreakBefore w:val="0"/>
        <w:spacing w:before="160" w:after="0"/>
      </w:pPr>
      <w:r>
        <w:rPr>
          <w:rFonts w:ascii="Times New Roman" w:hAnsi="Times New Roman"/>
          <w:b/>
          <w:sz w:val="21"/>
        </w:rPr>
        <w:t>Figure 1</w:t>
      </w:r>
    </w:p>
    <w:p>
      <w:pPr>
        <w:keepNext w:val="0"/>
        <w:spacing w:after="60"/>
      </w:pPr>
      <w:r>
        <w:rPr>
          <w:rFonts w:ascii="Times New Roman" w:hAnsi="Times New Roman"/>
          <w:i/>
          <w:sz w:val="21"/>
        </w:rPr>
        <w:t>Macro F1 Across Three Four-Trial Training Sets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73347"/>
            <wp:docPr id="1" name="Picture 1" descr="Grouped horizontal bars comparing held-out Macro F1 for six models across three four-trial training se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structure_macro_f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3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Model ranking changed with participant and interface composition even though each training set contained four trials.</w:t>
      </w:r>
    </w:p>
    <w:p>
      <w:pPr>
        <w:pageBreakBefore/>
        <w:spacing w:before="0" w:after="80"/>
      </w:pPr>
      <w:r>
        <w:rPr>
          <w:color w:val="FFFFFF"/>
          <w:sz w:val="72"/>
        </w:rPr>
        <w:t>.</w:t>
      </w:r>
    </w:p>
    <w:p>
      <w:pPr>
        <w:keepNext/>
        <w:pageBreakBefore w:val="0"/>
        <w:spacing w:before="160" w:after="0"/>
      </w:pPr>
      <w:r>
        <w:rPr>
          <w:rFonts w:ascii="Times New Roman" w:hAnsi="Times New Roman"/>
          <w:b/>
          <w:sz w:val="21"/>
        </w:rPr>
        <w:t>Figure 2</w:t>
      </w:r>
    </w:p>
    <w:p>
      <w:pPr>
        <w:keepNext w:val="0"/>
        <w:spacing w:after="60"/>
      </w:pPr>
      <w:r>
        <w:rPr>
          <w:rFonts w:ascii="Times New Roman" w:hAnsi="Times New Roman"/>
          <w:i/>
          <w:sz w:val="21"/>
        </w:rPr>
        <w:t>Whole-Trial Phase Labels for Participant-specific, 4 trials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39241"/>
            <wp:docPr id="2" name="Picture 2" descr="Horizontal whole-trial phase bands comparing manual labels with six model predictions after participant-specific, 4 tria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_p10_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9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Ground truth and one-frame causal predictions on 08_01. Training set: 10_01–10_04; 27,813 training frames. Gray intervals indicate timestamp gaps or feature warm-up intervals.</w:t>
      </w:r>
    </w:p>
    <w:p>
      <w:pPr>
        <w:keepNext/>
        <w:spacing w:before="180" w:after="0"/>
      </w:pPr>
      <w:r>
        <w:rPr>
          <w:rFonts w:ascii="Times New Roman" w:hAnsi="Times New Roman"/>
          <w:b/>
          <w:sz w:val="21"/>
        </w:rPr>
        <w:t>Table 2</w:t>
      </w:r>
    </w:p>
    <w:p>
      <w:pPr>
        <w:keepNext/>
        <w:spacing w:after="80"/>
      </w:pPr>
      <w:r>
        <w:rPr>
          <w:rFonts w:ascii="Times New Roman" w:hAnsi="Times New Roman"/>
          <w:i/>
          <w:sz w:val="21"/>
        </w:rPr>
        <w:t>Detailed Performance for Participant-Specific Four-Trial Training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true"/>
          <w:cantSplit/>
        </w:trPr>
        <w:tc>
          <w:tcPr>
            <w:tcW w:type="dxa" w:w="148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69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±1 s</w:t>
              <w:br/>
              <w:t>Tol. Acc.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Full-seq.</w:t>
              <w:br/>
              <w:t>Macro F1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FREE</w:t>
              <w:br/>
              <w:t>F1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APP.</w:t>
              <w:br/>
              <w:t>F1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PAINT.</w:t>
              <w:br/>
              <w:t>F1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RET.</w:t>
              <w:br/>
              <w:t>F1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Trans. F1</w:t>
              <w:br/>
              <w:t>(±1 s)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Trans.</w:t>
              <w:br/>
              <w:t>recall</w:t>
            </w:r>
          </w:p>
        </w:tc>
        <w:tc>
          <w:tcPr>
            <w:tcW w:type="dxa" w:w="73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False</w:t>
              <w:br/>
              <w:t>trans.</w:t>
            </w:r>
          </w:p>
        </w:tc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|Delay|</w:t>
              <w:br/>
              <w:t>ms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3"/>
              </w:rPr>
              <w:t>Causal FSM</w:t>
            </w:r>
          </w:p>
        </w:tc>
        <w:tc>
          <w:tcPr>
            <w:tcW w:type="dxa" w:w="69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67.1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25.1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16.9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0.0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77.3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6.2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1.1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4.9</w:t>
            </w:r>
          </w:p>
        </w:tc>
        <w:tc>
          <w:tcPr>
            <w:tcW w:type="dxa" w:w="73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318</w:t>
            </w:r>
          </w:p>
        </w:tc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272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3"/>
              </w:rPr>
              <w:t>Random Forest</w:t>
            </w:r>
          </w:p>
        </w:tc>
        <w:tc>
          <w:tcPr>
            <w:tcW w:type="dxa" w:w="69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88.3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48.0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53.4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11.4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90.9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36.4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11.9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48.8</w:t>
            </w:r>
          </w:p>
        </w:tc>
        <w:tc>
          <w:tcPr>
            <w:tcW w:type="dxa" w:w="73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276</w:t>
            </w:r>
          </w:p>
        </w:tc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326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3"/>
              </w:rPr>
              <w:t>GMM</w:t>
            </w:r>
          </w:p>
        </w:tc>
        <w:tc>
          <w:tcPr>
            <w:tcW w:type="dxa" w:w="69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80.3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39.7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43.1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16.7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90.0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9.1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5.6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39.0</w:t>
            </w:r>
          </w:p>
        </w:tc>
        <w:tc>
          <w:tcPr>
            <w:tcW w:type="dxa" w:w="73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510</w:t>
            </w:r>
          </w:p>
        </w:tc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321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3"/>
              </w:rPr>
              <w:t>Gaussian HMM</w:t>
            </w:r>
          </w:p>
        </w:tc>
        <w:tc>
          <w:tcPr>
            <w:tcW w:type="dxa" w:w="69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84.1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42.6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43.0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14.0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89.7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23.8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13.3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39.0</w:t>
            </w:r>
          </w:p>
        </w:tc>
        <w:tc>
          <w:tcPr>
            <w:tcW w:type="dxa" w:w="73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183</w:t>
            </w:r>
          </w:p>
        </w:tc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444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3"/>
              </w:rPr>
              <w:t>GMM-HMM</w:t>
            </w:r>
          </w:p>
        </w:tc>
        <w:tc>
          <w:tcPr>
            <w:tcW w:type="dxa" w:w="69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78.8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39.8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44.7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14.5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90.6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9.4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6.5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26.8</w:t>
            </w:r>
          </w:p>
        </w:tc>
        <w:tc>
          <w:tcPr>
            <w:tcW w:type="dxa" w:w="73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287</w:t>
            </w:r>
          </w:p>
        </w:tc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470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3"/>
              </w:rPr>
              <w:t>Causal LSTM</w:t>
            </w:r>
          </w:p>
        </w:tc>
        <w:tc>
          <w:tcPr>
            <w:tcW w:type="dxa" w:w="69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83.6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50.1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60.3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25.0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86.3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28.9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19.4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29.3</w:t>
            </w:r>
          </w:p>
        </w:tc>
        <w:tc>
          <w:tcPr>
            <w:tcW w:type="dxa" w:w="73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71</w:t>
            </w:r>
          </w:p>
        </w:tc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512</w:t>
            </w:r>
          </w:p>
        </w:tc>
      </w:tr>
    </w:tbl>
    <w:p>
      <w:pPr>
        <w:spacing w:before="60" w:after="120" w:line="240" w:lineRule="auto"/>
      </w:pPr>
      <w:r>
        <w:t>Note. Results on unseen trial 08_01 after participant-specific four-trial training. Tolerant accuracy accepts phase timing differences within ±1 s; Macro and phase F1 use strict matching over all valid frames. Transition F1 matches the same from-to event within ±1 s. False transitions are unmatched predicted events; delay is in milliseconds. Training set: 10_01-10_04; 27,813 training frames.</w:t>
      </w:r>
    </w:p>
    <w:p>
      <w:pPr>
        <w:pageBreakBefore/>
        <w:spacing w:before="0" w:after="80"/>
      </w:pPr>
      <w:r>
        <w:rPr>
          <w:color w:val="FFFFFF"/>
          <w:sz w:val="72"/>
        </w:rPr>
        <w:t>.</w:t>
      </w:r>
    </w:p>
    <w:p>
      <w:pPr>
        <w:keepNext/>
        <w:pageBreakBefore w:val="0"/>
        <w:spacing w:before="160" w:after="0"/>
      </w:pPr>
      <w:r>
        <w:rPr>
          <w:rFonts w:ascii="Times New Roman" w:hAnsi="Times New Roman"/>
          <w:b/>
          <w:sz w:val="21"/>
        </w:rPr>
        <w:t>Figure 3</w:t>
      </w:r>
    </w:p>
    <w:p>
      <w:pPr>
        <w:keepNext w:val="0"/>
        <w:spacing w:after="60"/>
      </w:pPr>
      <w:r>
        <w:rPr>
          <w:rFonts w:ascii="Times New Roman" w:hAnsi="Times New Roman"/>
          <w:i/>
          <w:sz w:val="21"/>
        </w:rPr>
        <w:t>Whole-Trial Phase Labels for Single-interface, 4 trials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39241"/>
            <wp:docPr id="3" name="Picture 3" descr="Horizontal whole-trial phase bands comparing manual labels with six model predictions after single-interface, 4 tria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_i01_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9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Ground truth and one-frame causal predictions on 08_01. Training set: 06_01, 07_01, 10_01, 11_01; 33,251 training frames. Gray intervals indicate timestamp gaps or feature warm-up intervals.</w:t>
      </w:r>
    </w:p>
    <w:p>
      <w:pPr>
        <w:keepNext/>
        <w:spacing w:before="180" w:after="0"/>
      </w:pPr>
      <w:r>
        <w:rPr>
          <w:rFonts w:ascii="Times New Roman" w:hAnsi="Times New Roman"/>
          <w:b/>
          <w:sz w:val="21"/>
        </w:rPr>
        <w:t>Table 3</w:t>
      </w:r>
    </w:p>
    <w:p>
      <w:pPr>
        <w:keepNext/>
        <w:spacing w:after="80"/>
      </w:pPr>
      <w:r>
        <w:rPr>
          <w:rFonts w:ascii="Times New Roman" w:hAnsi="Times New Roman"/>
          <w:i/>
          <w:sz w:val="21"/>
        </w:rPr>
        <w:t>Detailed Performance for Single-Interface Four-Trial Training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true"/>
          <w:cantSplit/>
        </w:trPr>
        <w:tc>
          <w:tcPr>
            <w:tcW w:type="dxa" w:w="148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69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±1 s</w:t>
              <w:br/>
              <w:t>Tol. Acc.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Full-seq.</w:t>
              <w:br/>
              <w:t>Macro F1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FREE</w:t>
              <w:br/>
              <w:t>F1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APP.</w:t>
              <w:br/>
              <w:t>F1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PAINT.</w:t>
              <w:br/>
              <w:t>F1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RET.</w:t>
              <w:br/>
              <w:t>F1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Trans. F1</w:t>
              <w:br/>
              <w:t>(±1 s)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Trans.</w:t>
              <w:br/>
              <w:t>recall</w:t>
            </w:r>
          </w:p>
        </w:tc>
        <w:tc>
          <w:tcPr>
            <w:tcW w:type="dxa" w:w="73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False</w:t>
              <w:br/>
              <w:t>trans.</w:t>
            </w:r>
          </w:p>
        </w:tc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|Delay|</w:t>
              <w:br/>
              <w:t>ms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3"/>
              </w:rPr>
              <w:t>Causal FSM</w:t>
            </w:r>
          </w:p>
        </w:tc>
        <w:tc>
          <w:tcPr>
            <w:tcW w:type="dxa" w:w="69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45.8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26.2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39.3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3.8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60.2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1.6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2.3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17.1</w:t>
            </w:r>
          </w:p>
        </w:tc>
        <w:tc>
          <w:tcPr>
            <w:tcW w:type="dxa" w:w="73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560</w:t>
            </w:r>
          </w:p>
        </w:tc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260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3"/>
              </w:rPr>
              <w:t>Random Forest</w:t>
            </w:r>
          </w:p>
        </w:tc>
        <w:tc>
          <w:tcPr>
            <w:tcW w:type="dxa" w:w="69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88.9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54.5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60.7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28.4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90.8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38.1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17.0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58.5</w:t>
            </w:r>
          </w:p>
        </w:tc>
        <w:tc>
          <w:tcPr>
            <w:tcW w:type="dxa" w:w="73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218</w:t>
            </w:r>
          </w:p>
        </w:tc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329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3"/>
              </w:rPr>
              <w:t>GMM</w:t>
            </w:r>
          </w:p>
        </w:tc>
        <w:tc>
          <w:tcPr>
            <w:tcW w:type="dxa" w:w="69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83.4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46.8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64.5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15.1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88.6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18.8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7.4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75.6</w:t>
            </w:r>
          </w:p>
        </w:tc>
        <w:tc>
          <w:tcPr>
            <w:tcW w:type="dxa" w:w="73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771</w:t>
            </w:r>
          </w:p>
        </w:tc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231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3"/>
              </w:rPr>
              <w:t>Gaussian HMM</w:t>
            </w:r>
          </w:p>
        </w:tc>
        <w:tc>
          <w:tcPr>
            <w:tcW w:type="dxa" w:w="69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83.9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48.5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69.2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13.5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89.3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22.0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15.2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51.2</w:t>
            </w:r>
          </w:p>
        </w:tc>
        <w:tc>
          <w:tcPr>
            <w:tcW w:type="dxa" w:w="73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215</w:t>
            </w:r>
          </w:p>
        </w:tc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260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3"/>
              </w:rPr>
              <w:t>GMM-HMM</w:t>
            </w:r>
          </w:p>
        </w:tc>
        <w:tc>
          <w:tcPr>
            <w:tcW w:type="dxa" w:w="69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78.0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45.1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64.5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16.9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85.2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13.7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8.2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61.0</w:t>
            </w:r>
          </w:p>
        </w:tc>
        <w:tc>
          <w:tcPr>
            <w:tcW w:type="dxa" w:w="73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547</w:t>
            </w:r>
          </w:p>
        </w:tc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276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3"/>
              </w:rPr>
              <w:t>Causal LSTM</w:t>
            </w:r>
          </w:p>
        </w:tc>
        <w:tc>
          <w:tcPr>
            <w:tcW w:type="dxa" w:w="69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86.2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54.7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66.0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30.9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89.0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33.1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32.6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53.7</w:t>
            </w:r>
          </w:p>
        </w:tc>
        <w:tc>
          <w:tcPr>
            <w:tcW w:type="dxa" w:w="73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72</w:t>
            </w:r>
          </w:p>
        </w:tc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415</w:t>
            </w:r>
          </w:p>
        </w:tc>
      </w:tr>
    </w:tbl>
    <w:p>
      <w:pPr>
        <w:spacing w:before="60" w:after="120" w:line="240" w:lineRule="auto"/>
      </w:pPr>
      <w:r>
        <w:t>Note. Results on unseen trial 08_01 after single-interface four-trial training. Tolerant accuracy accepts phase timing differences within ±1 s; Macro and phase F1 use strict matching over all valid frames. Transition F1 matches the same from-to event within ±1 s. False transitions are unmatched predicted events; delay is in milliseconds. Training set: 06_01, 07_01, 10_01, 11_01; 33,251 training frames.</w:t>
      </w:r>
    </w:p>
    <w:p>
      <w:pPr>
        <w:pageBreakBefore/>
        <w:spacing w:before="0" w:after="80"/>
      </w:pPr>
      <w:r>
        <w:rPr>
          <w:color w:val="FFFFFF"/>
          <w:sz w:val="144"/>
        </w:rPr>
        <w:t>.</w:t>
      </w:r>
    </w:p>
    <w:p>
      <w:pPr>
        <w:keepNext/>
        <w:pageBreakBefore w:val="0"/>
        <w:spacing w:before="160" w:after="0"/>
      </w:pPr>
      <w:r>
        <w:rPr>
          <w:rFonts w:ascii="Times New Roman" w:hAnsi="Times New Roman"/>
          <w:b/>
          <w:sz w:val="21"/>
        </w:rPr>
        <w:t>Figure 4</w:t>
      </w:r>
    </w:p>
    <w:p>
      <w:pPr>
        <w:keepNext w:val="0"/>
        <w:spacing w:after="60"/>
      </w:pPr>
      <w:r>
        <w:rPr>
          <w:rFonts w:ascii="Times New Roman" w:hAnsi="Times New Roman"/>
          <w:i/>
          <w:sz w:val="21"/>
        </w:rPr>
        <w:t>Whole-Trial Phase Labels for Diversity-balanced, 4 trials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39241"/>
            <wp:docPr id="4" name="Picture 4" descr="Horizontal whole-trial phase bands comparing manual labels with six model predictions after diversity-balanced, 4 tria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_div_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9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Ground truth and one-frame causal predictions on 08_01. Training set: 06_03, 09_04, 10_01, 11_02; 27,451 training frames. Gray intervals indicate timestamp gaps or feature warm-up intervals.</w:t>
      </w:r>
    </w:p>
    <w:p>
      <w:pPr>
        <w:keepNext/>
        <w:spacing w:before="180" w:after="0"/>
      </w:pPr>
      <w:r>
        <w:rPr>
          <w:rFonts w:ascii="Times New Roman" w:hAnsi="Times New Roman"/>
          <w:b/>
          <w:sz w:val="21"/>
        </w:rPr>
        <w:t>Table 4</w:t>
      </w:r>
    </w:p>
    <w:p>
      <w:pPr>
        <w:keepNext/>
        <w:spacing w:after="80"/>
      </w:pPr>
      <w:r>
        <w:rPr>
          <w:rFonts w:ascii="Times New Roman" w:hAnsi="Times New Roman"/>
          <w:i/>
          <w:sz w:val="21"/>
        </w:rPr>
        <w:t>Detailed Performance for Diversity-Balanced Four-Trial Training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true"/>
          <w:cantSplit/>
        </w:trPr>
        <w:tc>
          <w:tcPr>
            <w:tcW w:type="dxa" w:w="148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69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±1 s</w:t>
              <w:br/>
              <w:t>Tol. Acc.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Full-seq.</w:t>
              <w:br/>
              <w:t>Macro F1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FREE</w:t>
              <w:br/>
              <w:t>F1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APP.</w:t>
              <w:br/>
              <w:t>F1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PAINT.</w:t>
              <w:br/>
              <w:t>F1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RET.</w:t>
              <w:br/>
              <w:t>F1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Trans. F1</w:t>
              <w:br/>
              <w:t>(±1 s)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Trans.</w:t>
              <w:br/>
              <w:t>recall</w:t>
            </w:r>
          </w:p>
        </w:tc>
        <w:tc>
          <w:tcPr>
            <w:tcW w:type="dxa" w:w="73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False</w:t>
              <w:br/>
              <w:t>trans.</w:t>
            </w:r>
          </w:p>
        </w:tc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|Delay|</w:t>
              <w:br/>
              <w:t>ms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3"/>
              </w:rPr>
              <w:t>Causal FSM</w:t>
            </w:r>
          </w:p>
        </w:tc>
        <w:tc>
          <w:tcPr>
            <w:tcW w:type="dxa" w:w="69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54.4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23.6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20.5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1.6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68.2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4.3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0.7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4.9</w:t>
            </w:r>
          </w:p>
        </w:tc>
        <w:tc>
          <w:tcPr>
            <w:tcW w:type="dxa" w:w="73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527</w:t>
            </w:r>
          </w:p>
        </w:tc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146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3"/>
              </w:rPr>
              <w:t>Random Forest</w:t>
            </w:r>
          </w:p>
        </w:tc>
        <w:tc>
          <w:tcPr>
            <w:tcW w:type="dxa" w:w="69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87.5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41.8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50.3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10.8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89.9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16.3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9.7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36.6</w:t>
            </w:r>
          </w:p>
        </w:tc>
        <w:tc>
          <w:tcPr>
            <w:tcW w:type="dxa" w:w="73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252</w:t>
            </w:r>
          </w:p>
        </w:tc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588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3"/>
              </w:rPr>
              <w:t>GMM</w:t>
            </w:r>
          </w:p>
        </w:tc>
        <w:tc>
          <w:tcPr>
            <w:tcW w:type="dxa" w:w="69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82.7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48.6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55.0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35.3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88.6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15.6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8.2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58.5</w:t>
            </w:r>
          </w:p>
        </w:tc>
        <w:tc>
          <w:tcPr>
            <w:tcW w:type="dxa" w:w="73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522</w:t>
            </w:r>
          </w:p>
        </w:tc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312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3"/>
              </w:rPr>
              <w:t>Gaussian HMM</w:t>
            </w:r>
          </w:p>
        </w:tc>
        <w:tc>
          <w:tcPr>
            <w:tcW w:type="dxa" w:w="69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81.1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42.4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35.2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16.7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87.6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30.0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13.8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34.1</w:t>
            </w:r>
          </w:p>
        </w:tc>
        <w:tc>
          <w:tcPr>
            <w:tcW w:type="dxa" w:w="73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148</w:t>
            </w:r>
          </w:p>
        </w:tc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438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3"/>
              </w:rPr>
              <w:t>GMM-HMM</w:t>
            </w:r>
          </w:p>
        </w:tc>
        <w:tc>
          <w:tcPr>
            <w:tcW w:type="dxa" w:w="69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79.5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46.3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56.0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32.7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88.1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8.3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9.3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43.9</w:t>
            </w:r>
          </w:p>
        </w:tc>
        <w:tc>
          <w:tcPr>
            <w:tcW w:type="dxa" w:w="73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330</w:t>
            </w:r>
          </w:p>
        </w:tc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260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3"/>
              </w:rPr>
              <w:t>Causal LSTM</w:t>
            </w:r>
          </w:p>
        </w:tc>
        <w:tc>
          <w:tcPr>
            <w:tcW w:type="dxa" w:w="69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81.1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46.0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40.7</w:t>
            </w:r>
          </w:p>
        </w:tc>
        <w:tc>
          <w:tcPr>
            <w:tcW w:type="dxa" w:w="778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33.1</w:t>
            </w:r>
          </w:p>
        </w:tc>
        <w:tc>
          <w:tcPr>
            <w:tcW w:type="dxa" w:w="86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85.6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24.6</w:t>
            </w:r>
          </w:p>
        </w:tc>
        <w:tc>
          <w:tcPr>
            <w:tcW w:type="dxa" w:w="9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11.5</w:t>
            </w:r>
          </w:p>
        </w:tc>
        <w:tc>
          <w:tcPr>
            <w:tcW w:type="dxa" w:w="74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22.0</w:t>
            </w:r>
          </w:p>
        </w:tc>
        <w:tc>
          <w:tcPr>
            <w:tcW w:type="dxa" w:w="734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107</w:t>
            </w:r>
          </w:p>
        </w:tc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360</w:t>
            </w:r>
          </w:p>
        </w:tc>
      </w:tr>
    </w:tbl>
    <w:p>
      <w:pPr>
        <w:spacing w:before="60" w:after="120" w:line="240" w:lineRule="auto"/>
      </w:pPr>
      <w:r>
        <w:t>Note. Results on unseen trial 08_01 after diversity-balanced four-trial training. Tolerant accuracy accepts phase timing differences within ±1 s; Macro and phase F1 use strict matching over all valid frames. Transition F1 matches the same from-to event within ±1 s. False transitions are unmatched predicted events; delay is in milliseconds. Training set: 06_03, 09_04, 10_01, 11_02; 27,451 training frames.</w:t>
      </w:r>
    </w:p>
    <w:p>
      <w:pPr>
        <w:pageBreakBefore/>
        <w:spacing w:before="0" w:after="80"/>
      </w:pPr>
      <w:r>
        <w:rPr>
          <w:color w:val="FFFFFF"/>
          <w:sz w:val="20"/>
        </w:rPr>
        <w:t>.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Participant-independent generalization (Table 5; Figure 5)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Across unseen participants, the Causal LSTM retained the strongest mean accuracy and Macro F1, but participant-level variance remained substantial.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Probabilistic sequence models showed temporal smoothing benefits without matching the recurrent model's aggregate classification performance.</w:t>
      </w:r>
    </w:p>
    <w:p>
      <w:pPr>
        <w:keepNext/>
        <w:spacing w:before="180" w:after="0"/>
      </w:pPr>
      <w:r>
        <w:rPr>
          <w:rFonts w:ascii="Times New Roman" w:hAnsi="Times New Roman"/>
          <w:b/>
          <w:sz w:val="21"/>
        </w:rPr>
        <w:t>Table 5</w:t>
      </w:r>
    </w:p>
    <w:p>
      <w:pPr>
        <w:keepNext/>
        <w:spacing w:after="80"/>
      </w:pPr>
      <w:r>
        <w:rPr>
          <w:rFonts w:ascii="Times New Roman" w:hAnsi="Times New Roman"/>
          <w:i/>
          <w:sz w:val="21"/>
        </w:rPr>
        <w:t>Leave-One-Participant-Out Performance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</w:tblPr>
      <w:tblGrid>
        <w:gridCol w:w="1503"/>
        <w:gridCol w:w="1503"/>
        <w:gridCol w:w="1503"/>
        <w:gridCol w:w="1503"/>
        <w:gridCol w:w="1503"/>
        <w:gridCol w:w="1503"/>
        <w:gridCol w:w="1008"/>
        <w:gridCol w:w="1008"/>
      </w:tblGrid>
      <w:tr>
        <w:trPr>
          <w:tblHeader w:val="true"/>
          <w:cantSplit/>
        </w:trPr>
        <w:tc>
          <w:tcPr>
            <w:tcW w:type="dxa" w:w="165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12" w:space="0" w:color="000000"/>
              <w:top w:val="single" w:sz="1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0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12" w:space="0" w:color="000000"/>
              <w:top w:val="single" w:sz="1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±1 s</w:t>
              <w:br/>
              <w:t>Tol. Acc.</w:t>
            </w:r>
          </w:p>
        </w:tc>
        <w:tc>
          <w:tcPr>
            <w:tcW w:type="dxa" w:w="11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12" w:space="0" w:color="000000"/>
              <w:top w:val="single" w:sz="1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Full-seq.</w:t>
              <w:br/>
              <w:t>Macro F1</w:t>
            </w:r>
          </w:p>
        </w:tc>
        <w:tc>
          <w:tcPr>
            <w:tcW w:type="dxa" w:w="97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12" w:space="0" w:color="000000"/>
              <w:top w:val="single" w:sz="1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FREE</w:t>
              <w:br/>
              <w:t>F1</w:t>
            </w:r>
          </w:p>
        </w:tc>
        <w:tc>
          <w:tcPr>
            <w:tcW w:type="dxa" w:w="97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12" w:space="0" w:color="000000"/>
              <w:top w:val="single" w:sz="1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APP.</w:t>
              <w:br/>
              <w:t>F1</w:t>
            </w:r>
          </w:p>
        </w:tc>
        <w:tc>
          <w:tcPr>
            <w:tcW w:type="dxa" w:w="103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12" w:space="0" w:color="000000"/>
              <w:top w:val="single" w:sz="1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PAINT.</w:t>
              <w:br/>
              <w:t>F1</w:t>
            </w:r>
          </w:p>
        </w:tc>
        <w:tc>
          <w:tcPr>
            <w:tcW w:type="dxa" w:w="979"/>
            <w:vAlign w:val="center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RET.</w:t>
              <w:br/>
              <w:t>F1</w:t>
            </w:r>
          </w:p>
        </w:tc>
        <w:tc>
          <w:tcPr>
            <w:tcW w:type="dxa" w:w="1180"/>
            <w:vAlign w:val="center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3"/>
              </w:rPr>
              <w:t>Trans. F1</w:t>
              <w:br/>
              <w:t>(±1 s)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3"/>
              </w:rPr>
              <w:t>Causal FSM</w:t>
            </w:r>
          </w:p>
        </w:tc>
        <w:tc>
          <w:tcPr>
            <w:tcW w:type="dxa" w:w="10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67.2 (11.3)</w:t>
            </w:r>
          </w:p>
        </w:tc>
        <w:tc>
          <w:tcPr>
            <w:tcW w:type="dxa" w:w="11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32.3 (5.1)</w:t>
            </w:r>
          </w:p>
        </w:tc>
        <w:tc>
          <w:tcPr>
            <w:tcW w:type="dxa" w:w="97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35.9 (12.3)</w:t>
            </w:r>
          </w:p>
        </w:tc>
        <w:tc>
          <w:tcPr>
            <w:tcW w:type="dxa" w:w="97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9.5 (9.7)</w:t>
            </w:r>
          </w:p>
        </w:tc>
        <w:tc>
          <w:tcPr>
            <w:tcW w:type="dxa" w:w="103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74.9 (9.0)</w:t>
            </w:r>
          </w:p>
        </w:tc>
        <w:tc>
          <w:tcPr>
            <w:tcW w:type="dxa" w:w="9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8.9 (4.7)</w:t>
            </w:r>
          </w:p>
        </w:tc>
        <w:tc>
          <w:tcPr>
            <w:tcW w:type="dxa" w:w="11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4.2 (1.3)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3"/>
              </w:rPr>
              <w:t>Random Forest</w:t>
            </w:r>
          </w:p>
        </w:tc>
        <w:tc>
          <w:tcPr>
            <w:tcW w:type="dxa" w:w="10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84.4 (6.6)</w:t>
            </w:r>
          </w:p>
        </w:tc>
        <w:tc>
          <w:tcPr>
            <w:tcW w:type="dxa" w:w="11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52.1 (10.4)</w:t>
            </w:r>
          </w:p>
        </w:tc>
        <w:tc>
          <w:tcPr>
            <w:tcW w:type="dxa" w:w="97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68.9 (8.0)</w:t>
            </w:r>
          </w:p>
        </w:tc>
        <w:tc>
          <w:tcPr>
            <w:tcW w:type="dxa" w:w="97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31.7 (18.9)</w:t>
            </w:r>
          </w:p>
        </w:tc>
        <w:tc>
          <w:tcPr>
            <w:tcW w:type="dxa" w:w="103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85.6 (9.7)</w:t>
            </w:r>
          </w:p>
        </w:tc>
        <w:tc>
          <w:tcPr>
            <w:tcW w:type="dxa" w:w="9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22.4 (12.7)</w:t>
            </w:r>
          </w:p>
        </w:tc>
        <w:tc>
          <w:tcPr>
            <w:tcW w:type="dxa" w:w="11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15.4 (5.6)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3"/>
              </w:rPr>
              <w:t>GMM</w:t>
            </w:r>
          </w:p>
        </w:tc>
        <w:tc>
          <w:tcPr>
            <w:tcW w:type="dxa" w:w="10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79.0 (7.7)</w:t>
            </w:r>
          </w:p>
        </w:tc>
        <w:tc>
          <w:tcPr>
            <w:tcW w:type="dxa" w:w="11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51.1 (6.9)</w:t>
            </w:r>
          </w:p>
        </w:tc>
        <w:tc>
          <w:tcPr>
            <w:tcW w:type="dxa" w:w="97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67.7 (7.9)</w:t>
            </w:r>
          </w:p>
        </w:tc>
        <w:tc>
          <w:tcPr>
            <w:tcW w:type="dxa" w:w="97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32.3 (14.3)</w:t>
            </w:r>
          </w:p>
        </w:tc>
        <w:tc>
          <w:tcPr>
            <w:tcW w:type="dxa" w:w="103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83.4 (8.5)</w:t>
            </w:r>
          </w:p>
        </w:tc>
        <w:tc>
          <w:tcPr>
            <w:tcW w:type="dxa" w:w="9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21.1 (9.7)</w:t>
            </w:r>
          </w:p>
        </w:tc>
        <w:tc>
          <w:tcPr>
            <w:tcW w:type="dxa" w:w="11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8.8 (3.3)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3"/>
              </w:rPr>
              <w:t>Gaussian HMM</w:t>
            </w:r>
          </w:p>
        </w:tc>
        <w:tc>
          <w:tcPr>
            <w:tcW w:type="dxa" w:w="10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74.2 (8.6)</w:t>
            </w:r>
          </w:p>
        </w:tc>
        <w:tc>
          <w:tcPr>
            <w:tcW w:type="dxa" w:w="11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48.9 (4.3)</w:t>
            </w:r>
          </w:p>
        </w:tc>
        <w:tc>
          <w:tcPr>
            <w:tcW w:type="dxa" w:w="97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64.8 (9.0)</w:t>
            </w:r>
          </w:p>
        </w:tc>
        <w:tc>
          <w:tcPr>
            <w:tcW w:type="dxa" w:w="97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28.8 (7.1)</w:t>
            </w:r>
          </w:p>
        </w:tc>
        <w:tc>
          <w:tcPr>
            <w:tcW w:type="dxa" w:w="103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77.5 (11.7)</w:t>
            </w:r>
          </w:p>
        </w:tc>
        <w:tc>
          <w:tcPr>
            <w:tcW w:type="dxa" w:w="9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24.4 (9.6)</w:t>
            </w:r>
          </w:p>
        </w:tc>
        <w:tc>
          <w:tcPr>
            <w:tcW w:type="dxa" w:w="11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15.2 (2.0)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3"/>
              </w:rPr>
              <w:t>GMM-HMM</w:t>
            </w:r>
          </w:p>
        </w:tc>
        <w:tc>
          <w:tcPr>
            <w:tcW w:type="dxa" w:w="10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73.9 (9.8)</w:t>
            </w:r>
          </w:p>
        </w:tc>
        <w:tc>
          <w:tcPr>
            <w:tcW w:type="dxa" w:w="11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49.2 (5.9)</w:t>
            </w:r>
          </w:p>
        </w:tc>
        <w:tc>
          <w:tcPr>
            <w:tcW w:type="dxa" w:w="97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65.8 (8.4)</w:t>
            </w:r>
          </w:p>
        </w:tc>
        <w:tc>
          <w:tcPr>
            <w:tcW w:type="dxa" w:w="97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32.8 (14.0)</w:t>
            </w:r>
          </w:p>
        </w:tc>
        <w:tc>
          <w:tcPr>
            <w:tcW w:type="dxa" w:w="103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80.2 (11.5)</w:t>
            </w:r>
          </w:p>
        </w:tc>
        <w:tc>
          <w:tcPr>
            <w:tcW w:type="dxa" w:w="9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18.0 (6.8)</w:t>
            </w:r>
          </w:p>
        </w:tc>
        <w:tc>
          <w:tcPr>
            <w:tcW w:type="dxa" w:w="11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12.0 (5.2)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12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3"/>
              </w:rPr>
              <w:t>Causal LSTM</w:t>
            </w:r>
          </w:p>
        </w:tc>
        <w:tc>
          <w:tcPr>
            <w:tcW w:type="dxa" w:w="1065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1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85.9 (5.5)</w:t>
            </w:r>
          </w:p>
        </w:tc>
        <w:tc>
          <w:tcPr>
            <w:tcW w:type="dxa" w:w="118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1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59.7 (8.4)</w:t>
            </w:r>
          </w:p>
        </w:tc>
        <w:tc>
          <w:tcPr>
            <w:tcW w:type="dxa" w:w="97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1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70.7 (8.1)</w:t>
            </w:r>
          </w:p>
        </w:tc>
        <w:tc>
          <w:tcPr>
            <w:tcW w:type="dxa" w:w="97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1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49.4 (14.8)</w:t>
            </w:r>
          </w:p>
        </w:tc>
        <w:tc>
          <w:tcPr>
            <w:tcW w:type="dxa" w:w="103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tcBorders>
              <w:bottom w:val="single" w:sz="1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87.0 (7.4)</w:t>
            </w:r>
          </w:p>
        </w:tc>
        <w:tc>
          <w:tcPr>
            <w:tcW w:type="dxa" w:w="979"/>
            <w:vAlign w:val="center"/>
            <w:tcBorders>
              <w:bottom w:val="single" w:sz="1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31.8 (12.6)</w:t>
            </w:r>
          </w:p>
        </w:tc>
        <w:tc>
          <w:tcPr>
            <w:tcW w:type="dxa" w:w="1180"/>
            <w:vAlign w:val="center"/>
            <w:tcBorders>
              <w:bottom w:val="single" w:sz="12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3"/>
              </w:rPr>
              <w:t>32.7 (12.8)</w:t>
            </w:r>
          </w:p>
        </w:tc>
      </w:tr>
    </w:tbl>
    <w:p>
      <w:pPr>
        <w:spacing w:before="60" w:after="120" w:line="240" w:lineRule="auto"/>
      </w:pPr>
      <w:r>
        <w:t>Note. Values are mean (SD) percentages across six participant folds. Tolerant accuracy permits ±1-s phase timing differences. Full-sequence Macro and phase F1 use strict framewise matching over every valid held-out frame. Transition F1 uses one-to-one matching of the same from-to event within ±1 s.</w:t>
      </w:r>
    </w:p>
    <w:p>
      <w:pPr>
        <w:pageBreakBefore/>
        <w:spacing w:before="0" w:after="80"/>
      </w:pPr>
      <w:r>
        <w:rPr>
          <w:color w:val="FFFFFF"/>
          <w:sz w:val="72"/>
        </w:rPr>
        <w:t>.</w:t>
      </w:r>
    </w:p>
    <w:p>
      <w:pPr>
        <w:keepNext/>
        <w:pageBreakBefore w:val="0"/>
        <w:spacing w:before="160" w:after="0"/>
      </w:pPr>
      <w:r>
        <w:rPr>
          <w:rFonts w:ascii="Times New Roman" w:hAnsi="Times New Roman"/>
          <w:b/>
          <w:sz w:val="21"/>
        </w:rPr>
        <w:t>Figure 5</w:t>
      </w:r>
    </w:p>
    <w:p>
      <w:pPr>
        <w:keepNext w:val="0"/>
        <w:spacing w:after="60"/>
      </w:pPr>
      <w:r>
        <w:t>Participant-Independent Strict Full-Sequence Macro F1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377440"/>
            <wp:docPr id="5" name="Picture 5" descr="Horizontal bar chart of leave-one-participant-out Macro F1 means and standard deviations for six causal phase-recognition mode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po_macro_f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</w:pPr>
      <w:r>
        <w:t>Note. Bars show strict full-sequence Macro F1 means; error bars show one standard deviation across held-out participants.</w:t>
      </w:r>
    </w:p>
    <w:p w14:paraId="46C320BC" w14:textId="77777777" w:rsidR="00924730" w:rsidRPr="00AC6425" w:rsidRDefault="00924730" w:rsidP="00924730">
      <w:pPr>
        <w:pStyle w:val="1"/>
        <w:keepNext/>
        <w:numPr>
          <w:ilvl w:val="0"/>
          <w:numId w:val="3"/>
        </w:numPr>
        <w:tabs>
          <w:tab w:val="num" w:pos="360"/>
        </w:tabs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Discussion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Model trade-offs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Causal FSM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Strength: transparent logic, negligible training demand, direct safety review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Weakness: brittle thresholds, poor transient-phase recognition, heavy calibration dependence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Random Forest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Strength: strong low-data baseline, nonlinear decision boundaries, simple fitting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Weakness: no temporal memory, greater susceptibility to framewise chattering and false transitions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GMM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Strength: high transition sensitivity, compact probabilistic phase representation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Weakness: phase-overlap ambiguity and many spurious transitions without temporal state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Gaussian HMM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Strength: causal temporal smoothing and interpretable state transitions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Weakness: rigid single-Gaussian emissions and delayed or weakened brief-phase responses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GMM-HMM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Strength: multimodal emissions with temporal continuity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Weakness: added complexity without top-ranked performance; dependence on learned transition statistics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Causal LSTM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Strength: strongest participant-independent aggregate performance; few false transitions</w:t>
      </w:r>
    </w:p>
    <w:p w14:paraId="525BE595" w14:textId="745E0E33" w:rsidR="00924730" w:rsidRPr="00AC6425" w:rsidRDefault="00E274DB" w:rsidP="00924730">
      <w:pPr>
        <w:pStyle w:val="a6"/>
        <w:keepLines/>
        <w:numPr>
          <w:ilvl w:val="2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</w:rPr>
        <w:t>Weakness: greater data requirement, weaker interpretability, remaining transition-recall and delay trade-off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Interpretation of training-structure and participant effects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Four-trial model ranking changed with participant and interface composition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Participant-level variance exceeded a simple single-trial comparison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Implication: model selection requires participant-independent evaluation rather than one held-out trial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Limitations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Single wall geometry, EOAT, task family, and laboratory context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Only six participants; one common held-out trial for the training-structure comparisons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Severe class imbalance and short APPROACH/RETRACT intervals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t>Metric dependence on the selected ±1.0-s timing tolerance; tolerant accuracy and transition-event F1 must be interpreted alongside strict full-sequence F1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No closed-loop user evaluation of phase-triggered wall-normal shared control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Next validation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Closed-loop shared-control experiment: safety, contact stability, operator workload, and task quality</w:t>
      </w:r>
    </w:p>
    <w:p w14:paraId="108B7D8B" w14:textId="77777777" w:rsidR="00924730" w:rsidRPr="00AC6425" w:rsidRDefault="00924730" w:rsidP="00924730">
      <w:pPr>
        <w:pStyle w:val="a6"/>
        <w:keepLines/>
        <w:numPr>
          <w:ilvl w:val="1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Cross-geometry and cross-tool validation; uncertainty-aware assistance release</w:t>
      </w:r>
    </w:p>
    <w:p w14:paraId="46C320BC" w14:textId="77777777" w:rsidR="00924730" w:rsidRPr="00AC6425" w:rsidRDefault="00924730" w:rsidP="00924730">
      <w:pPr>
        <w:pStyle w:val="1"/>
        <w:keepNext/>
        <w:numPr>
          <w:ilvl w:val="0"/>
          <w:numId w:val="3"/>
        </w:numPr>
        <w:tabs>
          <w:tab w:val="num" w:pos="360"/>
        </w:tabs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Contributions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Application-driven formulation of causal phase recognition for wall-normal shared control in remote robotic painting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Common one-frame causal benchmark spanning rules, framewise learning, probabilistic sequence models, and recurrent learning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Empirical evidence that four-trial composition changes model ranking and that participant-independent evaluation is required</w:t>
      </w:r>
    </w:p>
    <w:p w14:paraId="46CBB92B" w14:textId="77777777" w:rsidR="00924730" w:rsidRPr="00AC6425" w:rsidRDefault="00924730" w:rsidP="00924730">
      <w:pPr>
        <w:pStyle w:val="a6"/>
        <w:keepLines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Evaluation emphasis on minority-phase F1, transition matching, false transitions, and delay beyond overall accuracy</w:t>
      </w:r>
    </w:p>
    <w:sectPr w:rsidR="00FE3D8B" w:rsidSect="00924730">
      <w:headerReference w:type="default" r:id="rId15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F5161" w14:textId="77777777" w:rsidR="00D41406" w:rsidRDefault="00D41406">
      <w:pPr>
        <w:spacing w:after="0" w:line="240" w:lineRule="auto"/>
      </w:pPr>
      <w:r>
        <w:separator/>
      </w:r>
    </w:p>
  </w:endnote>
  <w:endnote w:type="continuationSeparator" w:id="0">
    <w:p w14:paraId="129A1664" w14:textId="77777777" w:rsidR="00D41406" w:rsidRDefault="00D41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2E5D0" w14:textId="77777777" w:rsidR="00D41406" w:rsidRDefault="00D41406">
      <w:pPr>
        <w:spacing w:after="0" w:line="240" w:lineRule="auto"/>
      </w:pPr>
      <w:r>
        <w:separator/>
      </w:r>
    </w:p>
  </w:footnote>
  <w:footnote w:type="continuationSeparator" w:id="0">
    <w:p w14:paraId="2D9F4084" w14:textId="77777777" w:rsidR="00D41406" w:rsidRDefault="00D414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63952" w14:textId="77777777" w:rsidR="00924730" w:rsidRPr="006D3E7A" w:rsidRDefault="00924730">
    <w:pPr>
      <w:pStyle w:val="aa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 </w:t>
    </w:r>
    <w:r w:rsidRPr="004B49D2">
      <w:rPr>
        <w:rFonts w:ascii="Times New Roman" w:hAnsi="Times New Roman" w:cs="Times New Roman"/>
      </w:rPr>
      <w:ptab w:relativeTo="margin" w:alignment="center" w:leader="none"/>
    </w:r>
    <w:r w:rsidRPr="004B49D2">
      <w:rPr>
        <w:rFonts w:ascii="Times New Roman" w:hAnsi="Times New Roman" w:cs="Times New Roman"/>
      </w:rPr>
      <w:ptab w:relativeTo="margin" w:alignment="right" w:leader="none"/>
    </w:r>
    <w:proofErr w:type="spellStart"/>
    <w:r>
      <w:rPr>
        <w:rFonts w:ascii="Times New Roman" w:hAnsi="Times New Roman" w:cs="Times New Roman" w:hint="eastAsia"/>
      </w:rPr>
      <w:t>Seungmin</w:t>
    </w:r>
    <w:proofErr w:type="spellEnd"/>
    <w:r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 w:hint="eastAsia"/>
      </w:rPr>
      <w:t>Shin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4453F5"/>
    <w:multiLevelType w:val="hybridMultilevel"/>
    <w:tmpl w:val="59B02E18"/>
    <w:lvl w:ilvl="0" w:tplc="DD3039D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9492924"/>
    <w:multiLevelType w:val="hybridMultilevel"/>
    <w:tmpl w:val="F44CA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AA47FF"/>
    <w:multiLevelType w:val="hybridMultilevel"/>
    <w:tmpl w:val="68867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209480">
    <w:abstractNumId w:val="2"/>
  </w:num>
  <w:num w:numId="2" w16cid:durableId="681784113">
    <w:abstractNumId w:val="1"/>
  </w:num>
  <w:num w:numId="3" w16cid:durableId="1526215391">
    <w:abstractNumId w:val="0"/>
  </w:num>
  <w:num w:numId="4" w16cid:durableId="109309250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730"/>
    <w:rsid w:val="000048F1"/>
    <w:rsid w:val="00025FDF"/>
    <w:rsid w:val="00026DEB"/>
    <w:rsid w:val="00034520"/>
    <w:rsid w:val="00053DDC"/>
    <w:rsid w:val="00071E8A"/>
    <w:rsid w:val="000751D9"/>
    <w:rsid w:val="00097FED"/>
    <w:rsid w:val="000D6BAD"/>
    <w:rsid w:val="001025BA"/>
    <w:rsid w:val="00120DB8"/>
    <w:rsid w:val="00133DB9"/>
    <w:rsid w:val="00162BD6"/>
    <w:rsid w:val="00162D9B"/>
    <w:rsid w:val="001A4160"/>
    <w:rsid w:val="001B53E2"/>
    <w:rsid w:val="001C7950"/>
    <w:rsid w:val="001D3FEB"/>
    <w:rsid w:val="001D6261"/>
    <w:rsid w:val="001E037B"/>
    <w:rsid w:val="001F4593"/>
    <w:rsid w:val="001F4CD8"/>
    <w:rsid w:val="00211FEE"/>
    <w:rsid w:val="00243CA2"/>
    <w:rsid w:val="002829D0"/>
    <w:rsid w:val="002A4E3E"/>
    <w:rsid w:val="002C4A63"/>
    <w:rsid w:val="0030215F"/>
    <w:rsid w:val="00303223"/>
    <w:rsid w:val="003079AF"/>
    <w:rsid w:val="00320707"/>
    <w:rsid w:val="00346BD5"/>
    <w:rsid w:val="00393582"/>
    <w:rsid w:val="003B4B6D"/>
    <w:rsid w:val="003C751E"/>
    <w:rsid w:val="003D4F22"/>
    <w:rsid w:val="003E5183"/>
    <w:rsid w:val="003F28FC"/>
    <w:rsid w:val="00412D47"/>
    <w:rsid w:val="0042132A"/>
    <w:rsid w:val="00427905"/>
    <w:rsid w:val="00430F99"/>
    <w:rsid w:val="00470BC4"/>
    <w:rsid w:val="0048322A"/>
    <w:rsid w:val="00485632"/>
    <w:rsid w:val="004B1BB6"/>
    <w:rsid w:val="004D0D29"/>
    <w:rsid w:val="004D39C1"/>
    <w:rsid w:val="004E3D8B"/>
    <w:rsid w:val="004F31CD"/>
    <w:rsid w:val="00520FAA"/>
    <w:rsid w:val="005245ED"/>
    <w:rsid w:val="00592333"/>
    <w:rsid w:val="00592FB1"/>
    <w:rsid w:val="005B26A1"/>
    <w:rsid w:val="005C47FB"/>
    <w:rsid w:val="005E1D52"/>
    <w:rsid w:val="0062118B"/>
    <w:rsid w:val="00643B64"/>
    <w:rsid w:val="006531A1"/>
    <w:rsid w:val="006613DB"/>
    <w:rsid w:val="00661AC7"/>
    <w:rsid w:val="006726BB"/>
    <w:rsid w:val="00674B8F"/>
    <w:rsid w:val="0068252C"/>
    <w:rsid w:val="006A2431"/>
    <w:rsid w:val="006D3168"/>
    <w:rsid w:val="006E587C"/>
    <w:rsid w:val="006F5023"/>
    <w:rsid w:val="00706842"/>
    <w:rsid w:val="007119A5"/>
    <w:rsid w:val="00727D26"/>
    <w:rsid w:val="007350C6"/>
    <w:rsid w:val="00787D71"/>
    <w:rsid w:val="007D616B"/>
    <w:rsid w:val="007F6CBF"/>
    <w:rsid w:val="0081118A"/>
    <w:rsid w:val="0081138E"/>
    <w:rsid w:val="00822BC3"/>
    <w:rsid w:val="00860885"/>
    <w:rsid w:val="00867AE5"/>
    <w:rsid w:val="0088210A"/>
    <w:rsid w:val="008A1CDB"/>
    <w:rsid w:val="008A618D"/>
    <w:rsid w:val="008C6723"/>
    <w:rsid w:val="008D31AD"/>
    <w:rsid w:val="008F0638"/>
    <w:rsid w:val="0090255F"/>
    <w:rsid w:val="009042F1"/>
    <w:rsid w:val="00910D56"/>
    <w:rsid w:val="00923995"/>
    <w:rsid w:val="00924730"/>
    <w:rsid w:val="00937083"/>
    <w:rsid w:val="009436E8"/>
    <w:rsid w:val="009449C9"/>
    <w:rsid w:val="0099730D"/>
    <w:rsid w:val="009F0B60"/>
    <w:rsid w:val="009F4C11"/>
    <w:rsid w:val="00A068FD"/>
    <w:rsid w:val="00A22B77"/>
    <w:rsid w:val="00A25C44"/>
    <w:rsid w:val="00A27B03"/>
    <w:rsid w:val="00A53DF2"/>
    <w:rsid w:val="00A579C7"/>
    <w:rsid w:val="00A66B1E"/>
    <w:rsid w:val="00A74F04"/>
    <w:rsid w:val="00A7551B"/>
    <w:rsid w:val="00AA2BF1"/>
    <w:rsid w:val="00AC5CBD"/>
    <w:rsid w:val="00AE02A6"/>
    <w:rsid w:val="00AE6240"/>
    <w:rsid w:val="00B00AD8"/>
    <w:rsid w:val="00B13CD9"/>
    <w:rsid w:val="00B279C7"/>
    <w:rsid w:val="00B4396A"/>
    <w:rsid w:val="00BA2CBD"/>
    <w:rsid w:val="00BA2E7F"/>
    <w:rsid w:val="00BB283E"/>
    <w:rsid w:val="00BC5302"/>
    <w:rsid w:val="00BE5964"/>
    <w:rsid w:val="00C20557"/>
    <w:rsid w:val="00C34028"/>
    <w:rsid w:val="00C371C9"/>
    <w:rsid w:val="00C56E2A"/>
    <w:rsid w:val="00C57ECE"/>
    <w:rsid w:val="00C91CFC"/>
    <w:rsid w:val="00CA287F"/>
    <w:rsid w:val="00CB5CFE"/>
    <w:rsid w:val="00CD2B15"/>
    <w:rsid w:val="00D16A8A"/>
    <w:rsid w:val="00D41406"/>
    <w:rsid w:val="00D54FD5"/>
    <w:rsid w:val="00D76B25"/>
    <w:rsid w:val="00DB3AC5"/>
    <w:rsid w:val="00DB5E07"/>
    <w:rsid w:val="00DD2989"/>
    <w:rsid w:val="00E16809"/>
    <w:rsid w:val="00E274DB"/>
    <w:rsid w:val="00E6656B"/>
    <w:rsid w:val="00E7014B"/>
    <w:rsid w:val="00E77F2F"/>
    <w:rsid w:val="00E840B3"/>
    <w:rsid w:val="00EA5E05"/>
    <w:rsid w:val="00EA6B46"/>
    <w:rsid w:val="00EC7C41"/>
    <w:rsid w:val="00F05C12"/>
    <w:rsid w:val="00F647AB"/>
    <w:rsid w:val="00F742DE"/>
    <w:rsid w:val="00F83268"/>
    <w:rsid w:val="00F939F2"/>
    <w:rsid w:val="00FA7918"/>
    <w:rsid w:val="00FB37D0"/>
    <w:rsid w:val="00FC61D0"/>
    <w:rsid w:val="00FC64E0"/>
    <w:rsid w:val="00FC682C"/>
    <w:rsid w:val="00FE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E1828"/>
  <w15:chartTrackingRefBased/>
  <w15:docId w15:val="{FC3D1A58-8535-47D8-ADD2-BECE3D85A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4730"/>
    <w:pPr>
      <w:spacing w:line="259" w:lineRule="auto"/>
    </w:pPr>
    <w:rPr>
      <w:kern w:val="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9247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24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247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247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247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247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247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247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247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247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247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247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247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247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247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247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247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247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247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24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247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247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24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247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247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2473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24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2473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2473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24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3">
    <w:name w:val="머리글 Char"/>
    <w:basedOn w:val="a0"/>
    <w:link w:val="aa"/>
    <w:uiPriority w:val="99"/>
    <w:rsid w:val="00924730"/>
    <w:rPr>
      <w:kern w:val="0"/>
      <w:szCs w:val="22"/>
      <w14:ligatures w14:val="none"/>
    </w:rPr>
  </w:style>
  <w:style w:type="character" w:styleId="ab">
    <w:name w:val="annotation reference"/>
    <w:basedOn w:val="a0"/>
    <w:uiPriority w:val="99"/>
    <w:semiHidden/>
    <w:unhideWhenUsed/>
    <w:rsid w:val="00924730"/>
    <w:rPr>
      <w:sz w:val="16"/>
      <w:szCs w:val="16"/>
    </w:rPr>
  </w:style>
  <w:style w:type="paragraph" w:styleId="ac">
    <w:name w:val="caption"/>
    <w:basedOn w:val="a"/>
    <w:next w:val="a"/>
    <w:uiPriority w:val="35"/>
    <w:unhideWhenUsed/>
    <w:qFormat/>
    <w:rsid w:val="0092473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0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4852</Words>
  <Characters>27659</Characters>
  <Application>Microsoft Office Word</Application>
  <DocSecurity>0</DocSecurity>
  <Lines>230</Lines>
  <Paragraphs>64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Causal Phase Recognition for Wall-Normal Shared Control in Remote Robotic Painting</dc:title>
  <dc:subject>Research paper outline with methods, results, discussion, and contributions</dc:subject>
  <dc:creator>Seungmin Shin</dc:creator>
  <cp:keywords/>
  <dc:description>Generated from the user-supplied outline template and recorded phase-learning results.</dc:description>
  <cp:lastModifiedBy>승민 신</cp:lastModifiedBy>
  <cp:revision>2</cp:revision>
  <dcterms:created xsi:type="dcterms:W3CDTF">2026-08-28T06:53:00Z</dcterms:created>
  <dcterms:modified xsi:type="dcterms:W3CDTF">2026-08-28T06:53:00Z</dcterms:modified>
</cp:coreProperties>
</file>