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 w:eastAsia="Times New Roman"/>
          <w:b/>
          <w:i w:val="0"/>
          <w:sz w:val="21"/>
        </w:rPr>
        <w:t>Table 1</w:t>
      </w:r>
    </w:p>
    <w:p>
      <w:pPr>
        <w:spacing w:after="160"/>
      </w:pPr>
      <w:r>
        <w:rPr>
          <w:rFonts w:ascii="Times New Roman" w:hAnsi="Times New Roman" w:eastAsia="Times New Roman"/>
          <w:b w:val="0"/>
          <w:i/>
          <w:sz w:val="21"/>
        </w:rPr>
        <w:t>Held-Out Participant 07 LOPO Classification and Transition Results Within a ±3-s Tolerance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74"/>
        <w:gridCol w:w="1774"/>
        <w:gridCol w:w="1774"/>
        <w:gridCol w:w="1774"/>
        <w:gridCol w:w="1774"/>
        <w:gridCol w:w="1774"/>
        <w:gridCol w:w="1774"/>
        <w:gridCol w:w="1774"/>
      </w:tblGrid>
      <w:tr>
        <w:trPr>
          <w:tblHeader w:val="true"/>
        </w:trPr>
        <w:tc>
          <w:tcPr>
            <w:tcW w:type="dxa" w:w="2268"/>
            <w:vMerge w:val="restar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Model</w:t>
            </w:r>
          </w:p>
        </w:tc>
        <w:tc>
          <w:tcPr>
            <w:tcW w:type="dxa" w:w="2892"/>
            <w:gridSpan w:val="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Overall</w:t>
            </w:r>
          </w:p>
        </w:tc>
        <w:tc>
          <w:tcPr>
            <w:tcW w:type="dxa" w:w="5897"/>
            <w:gridSpan w:val="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Phase-specific F1</w:t>
            </w:r>
          </w:p>
        </w:tc>
        <w:tc>
          <w:tcPr>
            <w:tcW w:type="dxa" w:w="1304"/>
            <w:vMerge w:val="restar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8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Transition F1</w:t>
            </w:r>
          </w:p>
        </w:tc>
      </w:tr>
      <w:tr>
        <w:trPr>
          <w:tblHeader w:val="true"/>
        </w:trPr>
        <w:tc>
          <w:tcPr>
            <w:tcW w:type="dxa" w:w="2268"/>
            <w:vMerge/>
          </w:tcPr>
          <w:p/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Accuracy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Macro F1</w:t>
            </w:r>
          </w:p>
        </w:tc>
        <w:tc>
          <w:tcPr>
            <w:tcW w:type="dxa" w:w="15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Free Motion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Approach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Painting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Retract</w:t>
            </w:r>
          </w:p>
        </w:tc>
        <w:tc>
          <w:tcPr>
            <w:tcW w:type="dxa" w:w="1304"/>
            <w:vMerge/>
          </w:tcPr>
          <w:p/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Causal FSM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77.3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42.0</w:t>
            </w:r>
          </w:p>
        </w:tc>
        <w:tc>
          <w:tcPr>
            <w:tcW w:type="dxa" w:w="15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21.8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24.1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90.8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31.2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7.2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Random Forest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87.4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76.2</w:t>
            </w:r>
          </w:p>
        </w:tc>
        <w:tc>
          <w:tcPr>
            <w:tcW w:type="dxa" w:w="15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86.9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72.2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93.7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51.8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12.5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GMM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74.6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68.9</w:t>
            </w:r>
          </w:p>
        </w:tc>
        <w:tc>
          <w:tcPr>
            <w:tcW w:type="dxa" w:w="15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80.5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56.7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97.1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41.2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10.4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Gaussian HMM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72.8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74.5</w:t>
            </w:r>
          </w:p>
        </w:tc>
        <w:tc>
          <w:tcPr>
            <w:tcW w:type="dxa" w:w="15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77.2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57.9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97.0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65.8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19.3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GMM-HMM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69.6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70.0</w:t>
            </w:r>
          </w:p>
        </w:tc>
        <w:tc>
          <w:tcPr>
            <w:tcW w:type="dxa" w:w="15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80.4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55.2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95.1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49.3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Causal LSTM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90.4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84.4</w:t>
            </w:r>
          </w:p>
        </w:tc>
        <w:tc>
          <w:tcPr>
            <w:tcW w:type="dxa" w:w="15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87.1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75.8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95.7</w:t>
            </w:r>
          </w:p>
        </w:tc>
        <w:tc>
          <w:tcPr>
            <w:tcW w:type="dxa" w:w="144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79.0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32.5</w:t>
            </w:r>
          </w:p>
        </w:tc>
      </w:tr>
    </w:tbl>
    <w:p>
      <w:pPr>
        <w:spacing w:before="140" w:after="0" w:line="240" w:lineRule="auto"/>
      </w:pPr>
      <w:r>
        <w:rPr>
          <w:rFonts w:ascii="Times New Roman" w:hAnsi="Times New Roman" w:eastAsia="Times New Roman"/>
          <w:b w:val="0"/>
          <w:i/>
          <w:sz w:val="17"/>
        </w:rPr>
        <w:t xml:space="preserve">Note. </w:t>
      </w:r>
      <w:r>
        <w:rPr>
          <w:rFonts w:ascii="Times New Roman" w:hAnsi="Times New Roman" w:eastAsia="Times New Roman"/>
          <w:b w:val="0"/>
          <w:i w:val="0"/>
          <w:sz w:val="17"/>
        </w:rPr>
        <w:t>Values are percentages for held-out participant 07. Classification and phase-specific F1 scores use the previously applied same-phase ±3-s temporal-tolerance criterion. Transition F1 matches the nearest unused event with the same from-to phase direction within ±3 s. LOPO = leave-one-participant-out.</w:t>
      </w:r>
    </w:p>
    <w:sectPr w:rsidR="00FC693F" w:rsidRPr="0006063C" w:rsidSect="00034616">
      <w:pgSz w:w="15840" w:h="12240" w:orient="landscape"/>
      <w:pgMar w:top="652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Held-Out Participant 07 LOPO Results</dc:title>
  <dc:subject>APA-style result table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