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i w:val="0"/>
          <w:sz w:val="34"/>
        </w:rPr>
        <w:t>LOPO Results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Leave-one-participant-out performance across six held-out participants.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52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phase_specific_f1_revi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 xml:space="preserve">Figure 1. </w:t>
      </w:r>
      <w:r>
        <w:rPr>
          <w:rFonts w:ascii="Times New Roman" w:hAnsi="Times New Roman" w:eastAsia="Times New Roman"/>
          <w:b w:val="0"/>
          <w:i w:val="0"/>
          <w:sz w:val="19"/>
        </w:rPr>
        <w:t>Phase-specific F1 scores. Bars represent means and error bars represent ±1 SD across six LOPO folds.</w:t>
      </w:r>
    </w:p>
    <w:p>
      <w:r>
        <w:br w:type="page"/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8915400" cy="5052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performance_revi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 xml:space="preserve">Figure 2. </w:t>
      </w:r>
      <w:r>
        <w:rPr>
          <w:rFonts w:ascii="Times New Roman" w:hAnsi="Times New Roman" w:eastAsia="Times New Roman"/>
          <w:b w:val="0"/>
          <w:i w:val="0"/>
          <w:sz w:val="19"/>
        </w:rPr>
        <w:t>Overall LOPO performance. Bars represent means and error bars represent ±1 SD across six LOPO folds.</w:t>
      </w:r>
    </w:p>
    <w:p>
      <w:r>
        <w:br w:type="page"/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368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po_08_01_phase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 xml:space="preserve">Figure 3. </w:t>
      </w:r>
      <w:r>
        <w:rPr>
          <w:rFonts w:ascii="Times New Roman" w:hAnsi="Times New Roman" w:eastAsia="Times New Roman"/>
          <w:b w:val="0"/>
          <w:i w:val="0"/>
          <w:sz w:val="19"/>
        </w:rPr>
        <w:t>Framewise causal phase predictions for trial 08_01. Participant 08 was excluded from training; gray intervals indicate gaps between valid segments.</w:t>
      </w:r>
    </w:p>
    <w:p>
      <w:r>
        <w:br w:type="page"/>
      </w:r>
    </w:p>
    <w:p>
      <w:pPr>
        <w:spacing w:after="0"/>
      </w:pPr>
      <w:r>
        <w:rPr>
          <w:rFonts w:ascii="Times New Roman" w:hAnsi="Times New Roman" w:eastAsia="Times New Roman"/>
          <w:b/>
          <w:i w:val="0"/>
          <w:sz w:val="22"/>
        </w:rPr>
        <w:t>Table 1</w:t>
      </w:r>
    </w:p>
    <w:p>
      <w:pPr>
        <w:spacing w:before="0" w:after="120"/>
      </w:pPr>
      <w:r>
        <w:rPr>
          <w:rFonts w:ascii="Times New Roman" w:hAnsi="Times New Roman" w:eastAsia="Times New Roman"/>
          <w:b w:val="0"/>
          <w:i/>
          <w:sz w:val="22"/>
        </w:rPr>
        <w:t>LOPO Classification and Transition Results Within a ±3-s Tolerance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  <w:gridCol w:w="1881"/>
        <w:gridCol w:w="1881"/>
        <w:gridCol w:w="1881"/>
      </w:tblGrid>
      <w:tr>
        <w:trPr>
          <w:trHeight w:val="533"/>
          <w:tblHeader w:val="true"/>
        </w:trPr>
        <w:tc>
          <w:tcPr>
            <w:tcW w:type="dxa" w:w="2189"/>
            <w:vMerge w:val="restart"/>
            <w:vAlign w:val="center"/>
            <w:tcBorders>
              <w:top w:val="nil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Model</w:t>
            </w:r>
          </w:p>
        </w:tc>
        <w:tc>
          <w:tcPr>
            <w:tcW w:type="dxa" w:w="3226"/>
            <w:gridSpan w:val="2"/>
            <w:vAlign w:val="center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Overall</w:t>
            </w:r>
          </w:p>
        </w:tc>
        <w:tc>
          <w:tcPr>
            <w:tcW w:type="dxa" w:w="6826"/>
            <w:gridSpan w:val="4"/>
            <w:vAlign w:val="center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Phase-specific F1</w:t>
            </w:r>
          </w:p>
        </w:tc>
        <w:tc>
          <w:tcPr>
            <w:tcW w:type="dxa" w:w="1555"/>
            <w:vAlign w:val="center"/>
            <w:tcBorders>
              <w:top w:val="single" w:sz="8" w:space="0" w:color="000000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Transition</w:t>
            </w:r>
          </w:p>
        </w:tc>
      </w:tr>
      <w:tr>
        <w:trPr>
          <w:trHeight w:val="533"/>
          <w:tblHeader w:val="true"/>
        </w:trPr>
        <w:tc>
          <w:tcPr>
            <w:tcW w:type="dxa" w:w="2189"/>
            <w:vMerge/>
          </w:tcPr>
          <w:p/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Accuracy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Macro F1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Free Motion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Approach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Painting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Retract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F1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Causal FSM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75.1 (11.0)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49.5 (6.1)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49.3 (14.6)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24.0 (15.0)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91.9 (3.5)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32.7 (11.0)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6.6 (2.3)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Random Forest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89.4 (4.3)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77.6 (8.0)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87.5 (2.7)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67.7 (18.5)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93.7 (8.6)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61.8 (11.7)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18.3 (5.9)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GMM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83.4 (6.0)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71.9 (6.1)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85.5 (4.5)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57.5 (14.1)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97.8 (1.7)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46.6 (14.1)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10.9 (3.6)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Gaussian HMM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79.1 (7.2)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71.0 (5.7)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81.1 (8.3)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54.6 (12.9)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94.8 (6.9)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53.4 (13.6)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19.4 (1.8)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GMM–HMM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77.9 (8.4)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69.7 (6.3)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85.5 (4.8)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54.5 (14.6)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96.2 (4.8)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42.5 (13.1)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15.6 (6.1)</w:t>
            </w:r>
          </w:p>
        </w:tc>
      </w:tr>
      <w:tr>
        <w:trPr>
          <w:trHeight w:val="533"/>
        </w:trPr>
        <w:tc>
          <w:tcPr>
            <w:tcW w:type="dxa" w:w="2189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Causal LSTM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90.5 (4.0)</w:t>
            </w:r>
          </w:p>
        </w:tc>
        <w:tc>
          <w:tcPr>
            <w:tcW w:type="dxa" w:w="1613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81.2 (8.7)</w:t>
            </w:r>
          </w:p>
        </w:tc>
        <w:tc>
          <w:tcPr>
            <w:tcW w:type="dxa" w:w="1757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87.0 (4.0)</w:t>
            </w:r>
          </w:p>
        </w:tc>
        <w:tc>
          <w:tcPr>
            <w:tcW w:type="dxa" w:w="1728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72.9 (18.4)</w:t>
            </w:r>
          </w:p>
        </w:tc>
        <w:tc>
          <w:tcPr>
            <w:tcW w:type="dxa" w:w="1699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97.0 (1.7)</w:t>
            </w:r>
          </w:p>
        </w:tc>
        <w:tc>
          <w:tcPr>
            <w:tcW w:type="dxa" w:w="1642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67.8 (14.6)</w:t>
            </w:r>
          </w:p>
        </w:tc>
        <w:tc>
          <w:tcPr>
            <w:tcW w:type="dxa" w:w="1555"/>
            <w:vAlign w:val="center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38.9 (10.5)</w:t>
            </w:r>
          </w:p>
        </w:tc>
      </w:tr>
    </w:tbl>
    <w:p>
      <w:pPr>
        <w:spacing w:before="100" w:after="0"/>
      </w:pPr>
      <w:r>
        <w:rPr>
          <w:rFonts w:ascii="Times New Roman" w:hAnsi="Times New Roman" w:eastAsia="Times New Roman"/>
          <w:b w:val="0"/>
          <w:i/>
          <w:sz w:val="18"/>
        </w:rPr>
        <w:t xml:space="preserve">Note. </w:t>
      </w:r>
      <w:r>
        <w:rPr>
          <w:rFonts w:ascii="Times New Roman" w:hAnsi="Times New Roman" w:eastAsia="Times New Roman"/>
          <w:b w:val="0"/>
          <w:i w:val="0"/>
          <w:sz w:val="18"/>
        </w:rPr>
        <w:t>Values are percentages and are reported as M (SD) across six held-out participants. Classification and transition scores were calculated using a ±3-s tolerance. LOPO = leave-one-participant-out; M = mean; SD = standard deviation.</w:t>
      </w:r>
    </w:p>
    <w:sectPr w:rsidR="00FC693F" w:rsidRPr="0006063C" w:rsidSect="00034616">
      <w:pgSz w:w="16834" w:h="11909" w:orient="landscape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LOPO Results: Figures and APA Table</dc:title>
  <dc:subject>Phase recognition LOPO evaluation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