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69A1EC4" w:rsidR="00F93E8D" w:rsidRDefault="008319B4" w:rsidP="00187D98">
      <w:pPr>
        <w:pStyle w:val="Title"/>
      </w:pPr>
      <w:r>
        <w:t xml:space="preserve">How To </w:t>
      </w:r>
      <w:r w:rsidR="00C56B67">
        <w:t>Use</w:t>
      </w:r>
      <w:r w:rsidR="00A13329">
        <w:t xml:space="preserve"> </w:t>
      </w:r>
      <w:r>
        <w:t>Data Abstraction Best Practices</w:t>
      </w:r>
      <w:r w:rsidR="00C56B67">
        <w:t xml:space="preserve"> Manage Annotations</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9968B5">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108461D8" w:rsidR="00524EE5" w:rsidRDefault="00524EE5" w:rsidP="00F85776">
            <w:pPr>
              <w:pStyle w:val="Abstract"/>
              <w:spacing w:before="60" w:after="60" w:line="240" w:lineRule="auto"/>
              <w:ind w:left="0"/>
              <w:rPr>
                <w:lang w:val="en-GB"/>
              </w:rPr>
            </w:pPr>
            <w:r>
              <w:rPr>
                <w:lang w:val="en-GB"/>
              </w:rPr>
              <w:t xml:space="preserve">Transitioned to Tibco </w:t>
            </w:r>
            <w:r w:rsidR="009E2382">
              <w:rPr>
                <w:lang w:val="en-GB"/>
              </w:rPr>
              <w:t xml:space="preserve">for </w:t>
            </w:r>
            <w:r w:rsidR="00A13329">
              <w:rPr>
                <w:lang w:val="en-GB"/>
              </w:rPr>
              <w:t xml:space="preserve">release </w:t>
            </w:r>
            <w:r>
              <w:rPr>
                <w:lang w:val="en-GB"/>
              </w:rPr>
              <w:t>8.1.9</w:t>
            </w:r>
          </w:p>
        </w:tc>
      </w:tr>
      <w:tr w:rsidR="009E2382" w:rsidRPr="002033C8" w14:paraId="23ABE5B9" w14:textId="77777777" w:rsidTr="009968B5">
        <w:tc>
          <w:tcPr>
            <w:tcW w:w="2340" w:type="dxa"/>
            <w:shd w:val="clear" w:color="auto" w:fill="auto"/>
          </w:tcPr>
          <w:p w14:paraId="4413AB1B" w14:textId="0D793C97" w:rsidR="009E2382" w:rsidRDefault="00312231" w:rsidP="00F85776">
            <w:pPr>
              <w:pStyle w:val="Abstract"/>
              <w:spacing w:before="60" w:after="60" w:line="240" w:lineRule="auto"/>
              <w:ind w:left="0"/>
              <w:rPr>
                <w:lang w:val="en-GB"/>
              </w:rPr>
            </w:pPr>
            <w:r>
              <w:rPr>
                <w:lang w:val="en-GB"/>
              </w:rPr>
              <w:t>2018Q1</w:t>
            </w:r>
          </w:p>
        </w:tc>
        <w:tc>
          <w:tcPr>
            <w:tcW w:w="1620" w:type="dxa"/>
            <w:shd w:val="clear" w:color="auto" w:fill="auto"/>
          </w:tcPr>
          <w:p w14:paraId="4197F9DC" w14:textId="3E16F20C" w:rsidR="009E2382" w:rsidRDefault="009E2382" w:rsidP="00F85776">
            <w:pPr>
              <w:pStyle w:val="Abstract"/>
              <w:spacing w:before="60" w:after="60" w:line="240" w:lineRule="auto"/>
              <w:ind w:left="0"/>
              <w:rPr>
                <w:lang w:val="en-GB"/>
              </w:rPr>
            </w:pPr>
            <w:r>
              <w:rPr>
                <w:lang w:val="en-GB"/>
              </w:rPr>
              <w:t>03/20/2018</w:t>
            </w:r>
          </w:p>
        </w:tc>
        <w:tc>
          <w:tcPr>
            <w:tcW w:w="1800" w:type="dxa"/>
            <w:shd w:val="clear" w:color="auto" w:fill="auto"/>
          </w:tcPr>
          <w:p w14:paraId="7E593899" w14:textId="1150966C" w:rsidR="009E2382" w:rsidRDefault="009E2382" w:rsidP="00F85776">
            <w:pPr>
              <w:pStyle w:val="Abstract"/>
              <w:spacing w:before="60" w:after="60" w:line="240" w:lineRule="auto"/>
              <w:ind w:left="0"/>
              <w:rPr>
                <w:lang w:val="en-GB"/>
              </w:rPr>
            </w:pPr>
            <w:r>
              <w:rPr>
                <w:lang w:val="en-GB"/>
              </w:rPr>
              <w:t>Mike Tinius</w:t>
            </w:r>
          </w:p>
        </w:tc>
        <w:tc>
          <w:tcPr>
            <w:tcW w:w="3888" w:type="dxa"/>
            <w:shd w:val="clear" w:color="auto" w:fill="auto"/>
          </w:tcPr>
          <w:p w14:paraId="3FDD30F4" w14:textId="0D1FE2DC" w:rsidR="009E2382" w:rsidRDefault="009E2382" w:rsidP="00F85776">
            <w:pPr>
              <w:pStyle w:val="Abstract"/>
              <w:spacing w:before="60" w:after="60" w:line="240" w:lineRule="auto"/>
              <w:ind w:left="0"/>
              <w:rPr>
                <w:lang w:val="en-GB"/>
              </w:rPr>
            </w:pPr>
            <w:r>
              <w:rPr>
                <w:lang w:val="en-GB"/>
              </w:rPr>
              <w:t xml:space="preserve">Release </w:t>
            </w:r>
            <w:r w:rsidR="00312231">
              <w:rPr>
                <w:lang w:val="en-GB"/>
              </w:rPr>
              <w:t xml:space="preserve">2018Q1 </w:t>
            </w:r>
            <w:r>
              <w:rPr>
                <w:lang w:val="en-GB"/>
              </w:rPr>
              <w:t>– no changes.</w:t>
            </w:r>
          </w:p>
        </w:tc>
      </w:tr>
      <w:tr w:rsidR="008224E2" w14:paraId="48D2E87C" w14:textId="77777777" w:rsidTr="00D03D88">
        <w:tc>
          <w:tcPr>
            <w:tcW w:w="2340" w:type="dxa"/>
            <w:shd w:val="clear" w:color="auto" w:fill="auto"/>
          </w:tcPr>
          <w:p w14:paraId="31048F51" w14:textId="77777777" w:rsidR="008224E2" w:rsidRDefault="008224E2" w:rsidP="00D03D88">
            <w:pPr>
              <w:pStyle w:val="Abstract"/>
              <w:spacing w:before="60" w:after="60" w:line="240" w:lineRule="auto"/>
              <w:ind w:left="0"/>
              <w:rPr>
                <w:lang w:val="en-GB"/>
              </w:rPr>
            </w:pPr>
            <w:r>
              <w:rPr>
                <w:lang w:val="en-GB"/>
              </w:rPr>
              <w:t>2019Q1</w:t>
            </w:r>
          </w:p>
        </w:tc>
        <w:tc>
          <w:tcPr>
            <w:tcW w:w="1620" w:type="dxa"/>
            <w:shd w:val="clear" w:color="auto" w:fill="auto"/>
          </w:tcPr>
          <w:p w14:paraId="16FAF48A" w14:textId="77777777" w:rsidR="008224E2" w:rsidRDefault="008224E2" w:rsidP="00D03D88">
            <w:pPr>
              <w:pStyle w:val="Abstract"/>
              <w:spacing w:before="60" w:after="60" w:line="240" w:lineRule="auto"/>
              <w:ind w:left="0"/>
              <w:rPr>
                <w:lang w:val="en-GB"/>
              </w:rPr>
            </w:pPr>
            <w:r>
              <w:rPr>
                <w:lang w:val="en-GB"/>
              </w:rPr>
              <w:t>01/25/2019</w:t>
            </w:r>
          </w:p>
        </w:tc>
        <w:tc>
          <w:tcPr>
            <w:tcW w:w="1800" w:type="dxa"/>
            <w:shd w:val="clear" w:color="auto" w:fill="auto"/>
          </w:tcPr>
          <w:p w14:paraId="34840B01" w14:textId="77777777" w:rsidR="008224E2" w:rsidRDefault="008224E2" w:rsidP="00D03D88">
            <w:pPr>
              <w:pStyle w:val="Abstract"/>
              <w:spacing w:before="60" w:after="60" w:line="240" w:lineRule="auto"/>
              <w:ind w:left="0"/>
              <w:rPr>
                <w:lang w:val="en-GB"/>
              </w:rPr>
            </w:pPr>
            <w:r>
              <w:rPr>
                <w:lang w:val="en-GB"/>
              </w:rPr>
              <w:t>Mike Tinius</w:t>
            </w:r>
          </w:p>
        </w:tc>
        <w:tc>
          <w:tcPr>
            <w:tcW w:w="3888" w:type="dxa"/>
            <w:shd w:val="clear" w:color="auto" w:fill="auto"/>
          </w:tcPr>
          <w:p w14:paraId="48A6FA08" w14:textId="77777777" w:rsidR="008224E2" w:rsidRDefault="008224E2" w:rsidP="00D03D88">
            <w:pPr>
              <w:pStyle w:val="Abstract"/>
              <w:spacing w:before="60" w:after="60" w:line="240" w:lineRule="auto"/>
              <w:ind w:left="0"/>
              <w:rPr>
                <w:lang w:val="en-GB"/>
              </w:rPr>
            </w:pPr>
            <w:r>
              <w:rPr>
                <w:lang w:val="en-GB"/>
              </w:rPr>
              <w:t>Release 2019Q1 - no changes</w:t>
            </w:r>
            <w:r w:rsidRPr="003C6B84">
              <w:rPr>
                <w:lang w:val="en-GB"/>
              </w:rPr>
              <w:t>.</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6940E3AB" w:rsidR="008E199A" w:rsidRDefault="00105DF0"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49D5AC68" w:rsidR="008E199A" w:rsidRDefault="004C73C9" w:rsidP="00AE1397">
            <w:pPr>
              <w:pStyle w:val="Abstract"/>
              <w:spacing w:before="60" w:after="60" w:line="240" w:lineRule="auto"/>
              <w:ind w:left="0"/>
              <w:rPr>
                <w:szCs w:val="20"/>
                <w:lang w:val="en-CA" w:eastAsia="en-CA" w:bidi="he-IL"/>
              </w:rPr>
            </w:pPr>
            <w:r>
              <w:rPr>
                <w:szCs w:val="20"/>
                <w:lang w:val="en-CA" w:eastAsia="en-CA" w:bidi="he-IL"/>
              </w:rPr>
              <w:t>2018</w:t>
            </w:r>
            <w:bookmarkStart w:id="1" w:name="_GoBack"/>
            <w:bookmarkEnd w:id="1"/>
            <w:r w:rsidR="00F4729C">
              <w:rPr>
                <w:szCs w:val="20"/>
                <w:lang w:val="en-CA" w:eastAsia="en-CA" w:bidi="he-IL"/>
              </w:rPr>
              <w:t>Q</w:t>
            </w:r>
            <w:r w:rsidR="009E2382">
              <w:rPr>
                <w:szCs w:val="20"/>
                <w:lang w:val="en-CA" w:eastAsia="en-CA" w:bidi="he-IL"/>
              </w:rPr>
              <w:t>1</w:t>
            </w:r>
          </w:p>
        </w:tc>
      </w:tr>
      <w:tr w:rsidR="00312231" w:rsidRPr="008D0D62" w14:paraId="5E5EAB5A" w14:textId="77777777" w:rsidTr="00AE1397">
        <w:tc>
          <w:tcPr>
            <w:tcW w:w="7200" w:type="dxa"/>
            <w:shd w:val="clear" w:color="auto" w:fill="auto"/>
          </w:tcPr>
          <w:p w14:paraId="7AA95A01" w14:textId="565B92A6" w:rsidR="00312231" w:rsidRPr="00F4729C" w:rsidRDefault="00312231" w:rsidP="00312231">
            <w:pPr>
              <w:pStyle w:val="Abstract"/>
              <w:spacing w:before="60" w:after="60" w:line="240" w:lineRule="auto"/>
              <w:ind w:left="0"/>
              <w:rPr>
                <w:szCs w:val="20"/>
                <w:lang w:val="en-CA" w:eastAsia="en-CA" w:bidi="he-IL"/>
              </w:rPr>
            </w:pPr>
            <w:r>
              <w:rPr>
                <w:szCs w:val="20"/>
                <w:lang w:val="en-CA" w:eastAsia="en-CA" w:bidi="he-IL"/>
              </w:rPr>
              <w:t>How To Use Data Abstraction Best Practices.pdf</w:t>
            </w:r>
          </w:p>
        </w:tc>
        <w:tc>
          <w:tcPr>
            <w:tcW w:w="2448" w:type="dxa"/>
            <w:shd w:val="clear" w:color="auto" w:fill="auto"/>
          </w:tcPr>
          <w:p w14:paraId="4DEED498" w14:textId="0B2A8CFB" w:rsidR="00312231" w:rsidRDefault="008224E2" w:rsidP="00312231">
            <w:pPr>
              <w:pStyle w:val="Abstract"/>
              <w:spacing w:before="60" w:after="60" w:line="240" w:lineRule="auto"/>
              <w:ind w:left="0"/>
              <w:rPr>
                <w:szCs w:val="20"/>
                <w:lang w:val="en-CA" w:eastAsia="en-CA" w:bidi="he-IL"/>
              </w:rPr>
            </w:pPr>
            <w:r>
              <w:rPr>
                <w:lang w:val="en-GB"/>
              </w:rPr>
              <w:t>2019</w:t>
            </w:r>
            <w:r w:rsidR="00312231" w:rsidRPr="00286FF0">
              <w:rPr>
                <w:lang w:val="en-GB"/>
              </w:rPr>
              <w:t xml:space="preserve">Q1 </w:t>
            </w:r>
          </w:p>
        </w:tc>
      </w:tr>
      <w:tr w:rsidR="00312231" w:rsidRPr="008D0D62" w14:paraId="5BA08B98" w14:textId="77777777" w:rsidTr="00AE1397">
        <w:tc>
          <w:tcPr>
            <w:tcW w:w="7200" w:type="dxa"/>
            <w:shd w:val="clear" w:color="auto" w:fill="auto"/>
          </w:tcPr>
          <w:p w14:paraId="1EDD2DAF" w14:textId="1215CAAA" w:rsidR="00312231" w:rsidRPr="00F4729C" w:rsidRDefault="00312231" w:rsidP="00312231">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262E5C88" w14:textId="4F6955D1" w:rsidR="00312231" w:rsidRDefault="008224E2" w:rsidP="00312231">
            <w:pPr>
              <w:pStyle w:val="Abstract"/>
              <w:spacing w:before="60" w:after="60" w:line="240" w:lineRule="auto"/>
              <w:ind w:left="0"/>
              <w:rPr>
                <w:szCs w:val="20"/>
                <w:lang w:val="en-CA" w:eastAsia="en-CA" w:bidi="he-IL"/>
              </w:rPr>
            </w:pPr>
            <w:r>
              <w:rPr>
                <w:lang w:val="en-GB"/>
              </w:rPr>
              <w:t>2019</w:t>
            </w:r>
            <w:r w:rsidR="00312231" w:rsidRPr="00286FF0">
              <w:rPr>
                <w:lang w:val="en-GB"/>
              </w:rPr>
              <w:t xml:space="preserve">Q1 </w:t>
            </w:r>
          </w:p>
        </w:tc>
      </w:tr>
      <w:tr w:rsidR="00312231" w:rsidRPr="008D0D62" w14:paraId="3FA750AC" w14:textId="77777777" w:rsidTr="00AE1397">
        <w:tc>
          <w:tcPr>
            <w:tcW w:w="7200" w:type="dxa"/>
            <w:shd w:val="clear" w:color="auto" w:fill="auto"/>
          </w:tcPr>
          <w:p w14:paraId="23D664AD" w14:textId="690CA5DC" w:rsidR="00312231" w:rsidRPr="00C37C13" w:rsidRDefault="00312231" w:rsidP="00312231">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72E1131E" w14:textId="21CA9967" w:rsidR="00312231" w:rsidRDefault="008224E2" w:rsidP="00312231">
            <w:pPr>
              <w:pStyle w:val="Abstract"/>
              <w:spacing w:before="60" w:after="60" w:line="240" w:lineRule="auto"/>
              <w:ind w:left="0"/>
              <w:rPr>
                <w:szCs w:val="20"/>
                <w:lang w:val="en-CA" w:eastAsia="en-CA" w:bidi="he-IL"/>
              </w:rPr>
            </w:pPr>
            <w:r>
              <w:rPr>
                <w:lang w:val="en-GB"/>
              </w:rPr>
              <w:t>2019</w:t>
            </w:r>
            <w:r w:rsidR="00312231" w:rsidRPr="00286FF0">
              <w:rPr>
                <w:lang w:val="en-GB"/>
              </w:rPr>
              <w:t xml:space="preserve">Q1 </w:t>
            </w:r>
          </w:p>
        </w:tc>
      </w:tr>
      <w:tr w:rsidR="00312231" w:rsidRPr="008D0D62" w14:paraId="43ED7F89" w14:textId="77777777" w:rsidTr="00AE1397">
        <w:tc>
          <w:tcPr>
            <w:tcW w:w="7200" w:type="dxa"/>
            <w:shd w:val="clear" w:color="auto" w:fill="auto"/>
          </w:tcPr>
          <w:p w14:paraId="56FDC0F6" w14:textId="2543DB6A" w:rsidR="00312231" w:rsidRPr="00980DE6" w:rsidRDefault="00312231" w:rsidP="00312231">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FE088D0" w14:textId="206710DA" w:rsidR="00312231" w:rsidRDefault="008224E2" w:rsidP="00312231">
            <w:pPr>
              <w:pStyle w:val="Abstract"/>
              <w:spacing w:before="60" w:after="60" w:line="240" w:lineRule="auto"/>
              <w:ind w:left="0"/>
              <w:rPr>
                <w:szCs w:val="20"/>
                <w:lang w:val="en-CA" w:eastAsia="en-CA" w:bidi="he-IL"/>
              </w:rPr>
            </w:pPr>
            <w:r>
              <w:rPr>
                <w:lang w:val="en-GB"/>
              </w:rPr>
              <w:t>2019</w:t>
            </w:r>
            <w:r w:rsidR="00312231" w:rsidRPr="00286FF0">
              <w:rPr>
                <w:lang w:val="en-GB"/>
              </w:rPr>
              <w:t xml:space="preserve">Q1 </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7C7F1E40" w:rsidR="00B23119" w:rsidRDefault="009E2382" w:rsidP="004D0F5F">
            <w:pPr>
              <w:pStyle w:val="Abstract"/>
              <w:spacing w:before="60" w:after="60" w:line="240" w:lineRule="auto"/>
              <w:ind w:left="0"/>
              <w:rPr>
                <w:szCs w:val="20"/>
                <w:lang w:val="en-CA" w:eastAsia="en-CA" w:bidi="he-IL"/>
              </w:rPr>
            </w:pPr>
            <w:r>
              <w:rPr>
                <w:szCs w:val="20"/>
                <w:lang w:val="en-CA" w:eastAsia="en-CA" w:bidi="he-IL"/>
              </w:rPr>
              <w:t>2018Q1</w:t>
            </w:r>
            <w:r w:rsidR="00B23119">
              <w:rPr>
                <w:szCs w:val="20"/>
                <w:lang w:val="en-CA" w:eastAsia="en-CA" w:bidi="he-IL"/>
              </w:rPr>
              <w:t xml:space="preserve">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BE74D52" w14:textId="77777777" w:rsidR="001E5C6E"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1E5C6E">
        <w:t>1</w:t>
      </w:r>
      <w:r w:rsidR="001E5C6E">
        <w:rPr>
          <w:rFonts w:asciiTheme="minorHAnsi" w:eastAsiaTheme="minorEastAsia" w:hAnsiTheme="minorHAnsi" w:cstheme="minorBidi"/>
          <w:b w:val="0"/>
          <w:bCs w:val="0"/>
          <w:szCs w:val="24"/>
        </w:rPr>
        <w:tab/>
      </w:r>
      <w:r w:rsidR="001E5C6E">
        <w:t>Introduction</w:t>
      </w:r>
      <w:r w:rsidR="001E5C6E">
        <w:tab/>
      </w:r>
      <w:r w:rsidR="001E5C6E">
        <w:fldChar w:fldCharType="begin"/>
      </w:r>
      <w:r w:rsidR="001E5C6E">
        <w:instrText xml:space="preserve"> PAGEREF _Toc501020627 \h </w:instrText>
      </w:r>
      <w:r w:rsidR="001E5C6E">
        <w:fldChar w:fldCharType="separate"/>
      </w:r>
      <w:r w:rsidR="001E5C6E">
        <w:t>4</w:t>
      </w:r>
      <w:r w:rsidR="001E5C6E">
        <w:fldChar w:fldCharType="end"/>
      </w:r>
    </w:p>
    <w:p w14:paraId="338E1F2D" w14:textId="77777777" w:rsidR="001E5C6E" w:rsidRDefault="001E5C6E">
      <w:pPr>
        <w:pStyle w:val="TOC2"/>
        <w:rPr>
          <w:rFonts w:asciiTheme="minorHAnsi" w:eastAsiaTheme="minorEastAsia" w:hAnsiTheme="minorHAnsi" w:cstheme="minorBidi"/>
          <w:sz w:val="24"/>
        </w:rPr>
      </w:pPr>
      <w:r>
        <w:t>Purpose</w:t>
      </w:r>
      <w:r>
        <w:tab/>
      </w:r>
      <w:r>
        <w:fldChar w:fldCharType="begin"/>
      </w:r>
      <w:r>
        <w:instrText xml:space="preserve"> PAGEREF _Toc501020628 \h </w:instrText>
      </w:r>
      <w:r>
        <w:fldChar w:fldCharType="separate"/>
      </w:r>
      <w:r>
        <w:t>4</w:t>
      </w:r>
      <w:r>
        <w:fldChar w:fldCharType="end"/>
      </w:r>
    </w:p>
    <w:p w14:paraId="6E4ED9C3" w14:textId="77777777" w:rsidR="001E5C6E" w:rsidRDefault="001E5C6E">
      <w:pPr>
        <w:pStyle w:val="TOC2"/>
        <w:rPr>
          <w:rFonts w:asciiTheme="minorHAnsi" w:eastAsiaTheme="minorEastAsia" w:hAnsiTheme="minorHAnsi" w:cstheme="minorBidi"/>
          <w:sz w:val="24"/>
        </w:rPr>
      </w:pPr>
      <w:r>
        <w:t>Audience</w:t>
      </w:r>
      <w:r>
        <w:tab/>
      </w:r>
      <w:r>
        <w:fldChar w:fldCharType="begin"/>
      </w:r>
      <w:r>
        <w:instrText xml:space="preserve"> PAGEREF _Toc501020629 \h </w:instrText>
      </w:r>
      <w:r>
        <w:fldChar w:fldCharType="separate"/>
      </w:r>
      <w:r>
        <w:t>4</w:t>
      </w:r>
      <w:r>
        <w:fldChar w:fldCharType="end"/>
      </w:r>
    </w:p>
    <w:p w14:paraId="6204F491" w14:textId="77777777" w:rsidR="001E5C6E" w:rsidRDefault="001E5C6E">
      <w:pPr>
        <w:pStyle w:val="TOC2"/>
        <w:rPr>
          <w:rFonts w:asciiTheme="minorHAnsi" w:eastAsiaTheme="minorEastAsia" w:hAnsiTheme="minorHAnsi" w:cstheme="minorBidi"/>
          <w:sz w:val="24"/>
        </w:rPr>
      </w:pPr>
      <w:r>
        <w:t>References</w:t>
      </w:r>
      <w:r>
        <w:tab/>
      </w:r>
      <w:r>
        <w:fldChar w:fldCharType="begin"/>
      </w:r>
      <w:r>
        <w:instrText xml:space="preserve"> PAGEREF _Toc501020630 \h </w:instrText>
      </w:r>
      <w:r>
        <w:fldChar w:fldCharType="separate"/>
      </w:r>
      <w:r>
        <w:t>5</w:t>
      </w:r>
      <w:r>
        <w:fldChar w:fldCharType="end"/>
      </w:r>
    </w:p>
    <w:p w14:paraId="732739B6" w14:textId="77777777" w:rsidR="001E5C6E" w:rsidRDefault="001E5C6E">
      <w:pPr>
        <w:pStyle w:val="TOC2"/>
        <w:rPr>
          <w:rFonts w:asciiTheme="minorHAnsi" w:eastAsiaTheme="minorEastAsia" w:hAnsiTheme="minorHAnsi" w:cstheme="minorBidi"/>
          <w:sz w:val="24"/>
        </w:rPr>
      </w:pPr>
      <w:r>
        <w:t>Pre-Requisites</w:t>
      </w:r>
      <w:r>
        <w:tab/>
      </w:r>
      <w:r>
        <w:fldChar w:fldCharType="begin"/>
      </w:r>
      <w:r>
        <w:instrText xml:space="preserve"> PAGEREF _Toc501020631 \h </w:instrText>
      </w:r>
      <w:r>
        <w:fldChar w:fldCharType="separate"/>
      </w:r>
      <w:r>
        <w:t>5</w:t>
      </w:r>
      <w:r>
        <w:fldChar w:fldCharType="end"/>
      </w:r>
    </w:p>
    <w:p w14:paraId="42DDEF8E" w14:textId="77777777" w:rsidR="001E5C6E" w:rsidRDefault="001E5C6E">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_Toc501020632 \h </w:instrText>
      </w:r>
      <w:r>
        <w:fldChar w:fldCharType="separate"/>
      </w:r>
      <w:r>
        <w:t>6</w:t>
      </w:r>
      <w:r>
        <w:fldChar w:fldCharType="end"/>
      </w:r>
    </w:p>
    <w:p w14:paraId="573BFEEA" w14:textId="77777777" w:rsidR="001E5C6E" w:rsidRDefault="001E5C6E">
      <w:pPr>
        <w:pStyle w:val="TOC2"/>
        <w:rPr>
          <w:rFonts w:asciiTheme="minorHAnsi" w:eastAsiaTheme="minorEastAsia" w:hAnsiTheme="minorHAnsi" w:cstheme="minorBidi"/>
          <w:sz w:val="24"/>
        </w:rPr>
      </w:pPr>
      <w:r>
        <w:t>How to Configure</w:t>
      </w:r>
      <w:r>
        <w:tab/>
      </w:r>
      <w:r>
        <w:fldChar w:fldCharType="begin"/>
      </w:r>
      <w:r>
        <w:instrText xml:space="preserve"> PAGEREF _Toc501020633 \h </w:instrText>
      </w:r>
      <w:r>
        <w:fldChar w:fldCharType="separate"/>
      </w:r>
      <w:r>
        <w:t>6</w:t>
      </w:r>
      <w:r>
        <w:fldChar w:fldCharType="end"/>
      </w:r>
    </w:p>
    <w:p w14:paraId="33AF392A" w14:textId="77777777" w:rsidR="001E5C6E" w:rsidRDefault="001E5C6E">
      <w:pPr>
        <w:pStyle w:val="TOC3"/>
        <w:rPr>
          <w:rFonts w:asciiTheme="minorHAnsi" w:eastAsiaTheme="minorEastAsia" w:hAnsiTheme="minorHAnsi" w:cstheme="minorBidi"/>
          <w:sz w:val="24"/>
          <w:szCs w:val="24"/>
        </w:rPr>
      </w:pPr>
      <w:r w:rsidRPr="00FB3E65">
        <w:rPr>
          <w:color w:val="1F497D"/>
        </w:rPr>
        <w:t>Manage Annotation Script Configuration Summary</w:t>
      </w:r>
      <w:r>
        <w:tab/>
      </w:r>
      <w:r>
        <w:fldChar w:fldCharType="begin"/>
      </w:r>
      <w:r>
        <w:instrText xml:space="preserve"> PAGEREF _Toc501020634 \h </w:instrText>
      </w:r>
      <w:r>
        <w:fldChar w:fldCharType="separate"/>
      </w:r>
      <w:r>
        <w:t>6</w:t>
      </w:r>
      <w:r>
        <w:fldChar w:fldCharType="end"/>
      </w:r>
    </w:p>
    <w:p w14:paraId="6430D826" w14:textId="77777777" w:rsidR="001E5C6E" w:rsidRDefault="001E5C6E">
      <w:pPr>
        <w:pStyle w:val="TOC3"/>
        <w:rPr>
          <w:rFonts w:asciiTheme="minorHAnsi" w:eastAsiaTheme="minorEastAsia" w:hAnsiTheme="minorHAnsi" w:cstheme="minorBidi"/>
          <w:sz w:val="24"/>
          <w:szCs w:val="24"/>
        </w:rPr>
      </w:pPr>
      <w:r w:rsidRPr="00FB3E65">
        <w:rPr>
          <w:color w:val="1F497D"/>
        </w:rPr>
        <w:t>Best Practices Installation</w:t>
      </w:r>
      <w:r>
        <w:tab/>
      </w:r>
      <w:r>
        <w:fldChar w:fldCharType="begin"/>
      </w:r>
      <w:r>
        <w:instrText xml:space="preserve"> PAGEREF _Toc501020635 \h </w:instrText>
      </w:r>
      <w:r>
        <w:fldChar w:fldCharType="separate"/>
      </w:r>
      <w:r>
        <w:t>6</w:t>
      </w:r>
      <w:r>
        <w:fldChar w:fldCharType="end"/>
      </w:r>
    </w:p>
    <w:p w14:paraId="40E1061E" w14:textId="77777777" w:rsidR="001E5C6E" w:rsidRDefault="001E5C6E">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Resource Annotations</w:t>
      </w:r>
      <w:r>
        <w:tab/>
      </w:r>
      <w:r>
        <w:fldChar w:fldCharType="begin"/>
      </w:r>
      <w:r>
        <w:instrText xml:space="preserve"> PAGEREF _Toc501020636 \h </w:instrText>
      </w:r>
      <w:r>
        <w:fldChar w:fldCharType="separate"/>
      </w:r>
      <w:r>
        <w:t>7</w:t>
      </w:r>
      <w:r>
        <w:fldChar w:fldCharType="end"/>
      </w:r>
    </w:p>
    <w:p w14:paraId="13B47E59" w14:textId="77777777" w:rsidR="001E5C6E" w:rsidRDefault="001E5C6E">
      <w:pPr>
        <w:pStyle w:val="TOC2"/>
        <w:rPr>
          <w:rFonts w:asciiTheme="minorHAnsi" w:eastAsiaTheme="minorEastAsia" w:hAnsiTheme="minorHAnsi" w:cstheme="minorBidi"/>
          <w:sz w:val="24"/>
        </w:rPr>
      </w:pPr>
      <w:r>
        <w:t>Introduction</w:t>
      </w:r>
      <w:r>
        <w:tab/>
      </w:r>
      <w:r>
        <w:fldChar w:fldCharType="begin"/>
      </w:r>
      <w:r>
        <w:instrText xml:space="preserve"> PAGEREF _Toc501020637 \h </w:instrText>
      </w:r>
      <w:r>
        <w:fldChar w:fldCharType="separate"/>
      </w:r>
      <w:r>
        <w:t>7</w:t>
      </w:r>
      <w:r>
        <w:fldChar w:fldCharType="end"/>
      </w:r>
    </w:p>
    <w:p w14:paraId="0E5FE0D2" w14:textId="77777777" w:rsidR="001E5C6E" w:rsidRDefault="001E5C6E">
      <w:pPr>
        <w:pStyle w:val="TOC3"/>
        <w:rPr>
          <w:rFonts w:asciiTheme="minorHAnsi" w:eastAsiaTheme="minorEastAsia" w:hAnsiTheme="minorHAnsi" w:cstheme="minorBidi"/>
          <w:sz w:val="24"/>
          <w:szCs w:val="24"/>
        </w:rPr>
      </w:pPr>
      <w:r w:rsidRPr="00FB3E65">
        <w:rPr>
          <w:color w:val="1F497D"/>
        </w:rPr>
        <w:t>Instructions</w:t>
      </w:r>
      <w:r>
        <w:tab/>
      </w:r>
      <w:r>
        <w:fldChar w:fldCharType="begin"/>
      </w:r>
      <w:r>
        <w:instrText xml:space="preserve"> PAGEREF _Toc501020638 \h </w:instrText>
      </w:r>
      <w:r>
        <w:fldChar w:fldCharType="separate"/>
      </w:r>
      <w:r>
        <w:t>7</w:t>
      </w:r>
      <w:r>
        <w:fldChar w:fldCharType="end"/>
      </w:r>
    </w:p>
    <w:p w14:paraId="0F408C84" w14:textId="77777777" w:rsidR="001E5C6E" w:rsidRDefault="001E5C6E">
      <w:pPr>
        <w:pStyle w:val="TOC3"/>
        <w:rPr>
          <w:rFonts w:asciiTheme="minorHAnsi" w:eastAsiaTheme="minorEastAsia" w:hAnsiTheme="minorHAnsi" w:cstheme="minorBidi"/>
          <w:sz w:val="24"/>
          <w:szCs w:val="24"/>
        </w:rPr>
      </w:pPr>
      <w:r w:rsidRPr="00FB3E65">
        <w:rPr>
          <w:color w:val="1F497D"/>
        </w:rPr>
        <w:t>ResourceAnnotation Spreadsheet Definition</w:t>
      </w:r>
      <w:r>
        <w:tab/>
      </w:r>
      <w:r>
        <w:fldChar w:fldCharType="begin"/>
      </w:r>
      <w:r>
        <w:instrText xml:space="preserve"> PAGEREF _Toc501020639 \h </w:instrText>
      </w:r>
      <w:r>
        <w:fldChar w:fldCharType="separate"/>
      </w:r>
      <w:r>
        <w:t>8</w:t>
      </w:r>
      <w:r>
        <w:fldChar w:fldCharType="end"/>
      </w:r>
    </w:p>
    <w:p w14:paraId="3A5B6E95" w14:textId="77777777" w:rsidR="001E5C6E" w:rsidRDefault="001E5C6E">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Manage Annotation Scripts Method Definitions</w:t>
      </w:r>
      <w:r>
        <w:tab/>
      </w:r>
      <w:r>
        <w:fldChar w:fldCharType="begin"/>
      </w:r>
      <w:r>
        <w:instrText xml:space="preserve"> PAGEREF _Toc501020640 \h </w:instrText>
      </w:r>
      <w:r>
        <w:fldChar w:fldCharType="separate"/>
      </w:r>
      <w:r>
        <w:t>9</w:t>
      </w:r>
      <w:r>
        <w:fldChar w:fldCharType="end"/>
      </w:r>
    </w:p>
    <w:p w14:paraId="60AE20AB" w14:textId="77777777" w:rsidR="001E5C6E" w:rsidRDefault="001E5C6E">
      <w:pPr>
        <w:pStyle w:val="TOC2"/>
        <w:rPr>
          <w:rFonts w:asciiTheme="minorHAnsi" w:eastAsiaTheme="minorEastAsia" w:hAnsiTheme="minorHAnsi" w:cstheme="minorBidi"/>
          <w:sz w:val="24"/>
        </w:rPr>
      </w:pPr>
      <w:r>
        <w:t>Detailed Definitions</w:t>
      </w:r>
      <w:r>
        <w:tab/>
      </w:r>
      <w:r>
        <w:fldChar w:fldCharType="begin"/>
      </w:r>
      <w:r>
        <w:instrText xml:space="preserve"> PAGEREF _Toc501020641 \h </w:instrText>
      </w:r>
      <w:r>
        <w:fldChar w:fldCharType="separate"/>
      </w:r>
      <w:r>
        <w:t>9</w:t>
      </w:r>
      <w:r>
        <w:fldChar w:fldCharType="end"/>
      </w:r>
    </w:p>
    <w:p w14:paraId="13283876" w14:textId="77777777" w:rsidR="001E5C6E" w:rsidRDefault="001E5C6E">
      <w:pPr>
        <w:pStyle w:val="TOC2"/>
        <w:rPr>
          <w:rFonts w:asciiTheme="minorHAnsi" w:eastAsiaTheme="minorEastAsia" w:hAnsiTheme="minorHAnsi" w:cstheme="minorBidi"/>
          <w:sz w:val="24"/>
        </w:rPr>
      </w:pPr>
      <w:r>
        <w:t>Annotation Maintenance: Generate Annotations</w:t>
      </w:r>
      <w:r>
        <w:tab/>
      </w:r>
      <w:r>
        <w:fldChar w:fldCharType="begin"/>
      </w:r>
      <w:r>
        <w:instrText xml:space="preserve"> PAGEREF _Toc501020642 \h </w:instrText>
      </w:r>
      <w:r>
        <w:fldChar w:fldCharType="separate"/>
      </w:r>
      <w:r>
        <w:t>9</w:t>
      </w:r>
      <w:r>
        <w:fldChar w:fldCharType="end"/>
      </w:r>
    </w:p>
    <w:p w14:paraId="090AAF68" w14:textId="77777777" w:rsidR="001E5C6E" w:rsidRDefault="001E5C6E">
      <w:pPr>
        <w:pStyle w:val="TOC3"/>
        <w:rPr>
          <w:rFonts w:asciiTheme="minorHAnsi" w:eastAsiaTheme="minorEastAsia" w:hAnsiTheme="minorHAnsi" w:cstheme="minorBidi"/>
          <w:sz w:val="24"/>
          <w:szCs w:val="24"/>
        </w:rPr>
      </w:pPr>
      <w:r w:rsidRPr="00FB3E65">
        <w:t>1.</w:t>
      </w:r>
      <w:r>
        <w:rPr>
          <w:rFonts w:asciiTheme="minorHAnsi" w:eastAsiaTheme="minorEastAsia" w:hAnsiTheme="minorHAnsi" w:cstheme="minorBidi"/>
          <w:sz w:val="24"/>
          <w:szCs w:val="24"/>
        </w:rPr>
        <w:tab/>
      </w:r>
      <w:r>
        <w:t>generateResourceListToCSV</w:t>
      </w:r>
      <w:r>
        <w:tab/>
      </w:r>
      <w:r>
        <w:fldChar w:fldCharType="begin"/>
      </w:r>
      <w:r>
        <w:instrText xml:space="preserve"> PAGEREF _Toc501020643 \h </w:instrText>
      </w:r>
      <w:r>
        <w:fldChar w:fldCharType="separate"/>
      </w:r>
      <w:r>
        <w:t>9</w:t>
      </w:r>
      <w:r>
        <w:fldChar w:fldCharType="end"/>
      </w:r>
    </w:p>
    <w:p w14:paraId="79F7E685" w14:textId="77777777" w:rsidR="001E5C6E" w:rsidRDefault="001E5C6E">
      <w:pPr>
        <w:pStyle w:val="TOC2"/>
        <w:rPr>
          <w:rFonts w:asciiTheme="minorHAnsi" w:eastAsiaTheme="minorEastAsia" w:hAnsiTheme="minorHAnsi" w:cstheme="minorBidi"/>
          <w:sz w:val="24"/>
        </w:rPr>
      </w:pPr>
      <w:r>
        <w:t>Annotation Maintenance: Update Annotations</w:t>
      </w:r>
      <w:r>
        <w:tab/>
      </w:r>
      <w:r>
        <w:fldChar w:fldCharType="begin"/>
      </w:r>
      <w:r>
        <w:instrText xml:space="preserve"> PAGEREF _Toc501020644 \h </w:instrText>
      </w:r>
      <w:r>
        <w:fldChar w:fldCharType="separate"/>
      </w:r>
      <w:r>
        <w:t>9</w:t>
      </w:r>
      <w:r>
        <w:fldChar w:fldCharType="end"/>
      </w:r>
    </w:p>
    <w:p w14:paraId="36536FEF" w14:textId="77777777" w:rsidR="001E5C6E" w:rsidRDefault="001E5C6E">
      <w:pPr>
        <w:pStyle w:val="TOC3"/>
        <w:rPr>
          <w:rFonts w:asciiTheme="minorHAnsi" w:eastAsiaTheme="minorEastAsia" w:hAnsiTheme="minorHAnsi" w:cstheme="minorBidi"/>
          <w:sz w:val="24"/>
          <w:szCs w:val="24"/>
        </w:rPr>
      </w:pPr>
      <w:r w:rsidRPr="00FB3E65">
        <w:t>2.</w:t>
      </w:r>
      <w:r>
        <w:rPr>
          <w:rFonts w:asciiTheme="minorHAnsi" w:eastAsiaTheme="minorEastAsia" w:hAnsiTheme="minorHAnsi" w:cstheme="minorBidi"/>
          <w:sz w:val="24"/>
          <w:szCs w:val="24"/>
        </w:rPr>
        <w:tab/>
      </w:r>
      <w:r>
        <w:t>updateAnnotations</w:t>
      </w:r>
      <w:r>
        <w:tab/>
      </w:r>
      <w:r>
        <w:fldChar w:fldCharType="begin"/>
      </w:r>
      <w:r>
        <w:instrText xml:space="preserve"> PAGEREF _Toc501020645 \h </w:instrText>
      </w:r>
      <w:r>
        <w:fldChar w:fldCharType="separate"/>
      </w:r>
      <w:r>
        <w:t>9</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501020627"/>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501020628"/>
      <w:r w:rsidRPr="00837EC6">
        <w:t>Purpose</w:t>
      </w:r>
      <w:bookmarkEnd w:id="3"/>
      <w:bookmarkEnd w:id="4"/>
      <w:bookmarkEnd w:id="5"/>
      <w:bookmarkEnd w:id="6"/>
    </w:p>
    <w:p w14:paraId="4426B879" w14:textId="77777777" w:rsidR="00837EC6" w:rsidRPr="00837EC6" w:rsidRDefault="00837EC6" w:rsidP="00837EC6">
      <w:pPr>
        <w:pStyle w:val="CS-Bodytext"/>
        <w:rPr>
          <w:rFonts w:cs="Arial"/>
        </w:rPr>
      </w:pPr>
      <w:r w:rsidRPr="00837EC6">
        <w:rPr>
          <w:rFonts w:cs="Arial"/>
        </w:rPr>
        <w:t>The purpose of Best Practices Manage Annotation Scripts is to provide a framework for performing mass-updates on resource annotations based on rows maintained in a spreadsheet or a database.</w:t>
      </w:r>
    </w:p>
    <w:p w14:paraId="1C7FC676" w14:textId="3E6662BD" w:rsidR="00837EC6" w:rsidRPr="00837EC6" w:rsidRDefault="00837EC6" w:rsidP="00837EC6">
      <w:pPr>
        <w:pStyle w:val="CS-Bodytext"/>
        <w:rPr>
          <w:rFonts w:cs="Arial"/>
        </w:rPr>
      </w:pPr>
      <w:r w:rsidRPr="00837EC6">
        <w:rPr>
          <w:rFonts w:cs="Arial"/>
        </w:rPr>
        <w:t xml:space="preserve">The Manage Annotation Scripts help the developer to maintain and execute annotation updates during deployment for the various layers.  The proper place for annotations to be set (especially column annotations) is at the immediate layer below the published layer.  According to the best practices this may be either the Application Layer Published or Application Layer Views.  The reason for this is that </w:t>
      </w:r>
      <w:r w:rsidR="00B613AB">
        <w:rPr>
          <w:rFonts w:cs="Arial"/>
        </w:rPr>
        <w:t>Data Virtualization (DV)</w:t>
      </w:r>
      <w:r w:rsidRPr="00837EC6">
        <w:rPr>
          <w:rFonts w:cs="Arial"/>
        </w:rPr>
        <w:t xml:space="preserve"> Business Directory reads annotations from the layer of views just below the published.  In fact, there is no way to set COLUMN annotations on published resources.  The red highlighted boxed indicate where annotations are set depending on which layer is directly published to the </w:t>
      </w:r>
      <w:r w:rsidR="00B613AB">
        <w:rPr>
          <w:rFonts w:cs="Arial"/>
        </w:rPr>
        <w:t>DV</w:t>
      </w:r>
      <w:r w:rsidRPr="00837EC6">
        <w:rPr>
          <w:rFonts w:cs="Arial"/>
        </w:rPr>
        <w:t xml:space="preserve"> Published Database Layer.</w:t>
      </w:r>
    </w:p>
    <w:p w14:paraId="6CED61CC" w14:textId="49D48717" w:rsidR="00837EC6" w:rsidRPr="00837EC6" w:rsidRDefault="00837EC6" w:rsidP="00837EC6">
      <w:pPr>
        <w:pStyle w:val="CS-Bodytext"/>
        <w:rPr>
          <w:rFonts w:cs="Arial"/>
        </w:rPr>
      </w:pPr>
      <w:r w:rsidRPr="00837EC6">
        <w:rPr>
          <w:rFonts w:cs="Arial"/>
          <w:noProof/>
        </w:rPr>
        <mc:AlternateContent>
          <mc:Choice Requires="wps">
            <w:drawing>
              <wp:anchor distT="0" distB="0" distL="114300" distR="114300" simplePos="0" relativeHeight="251659264" behindDoc="0" locked="0" layoutInCell="1" allowOverlap="1" wp14:anchorId="69937081" wp14:editId="7F10FD5B">
                <wp:simplePos x="0" y="0"/>
                <wp:positionH relativeFrom="column">
                  <wp:posOffset>4227195</wp:posOffset>
                </wp:positionH>
                <wp:positionV relativeFrom="paragraph">
                  <wp:posOffset>448945</wp:posOffset>
                </wp:positionV>
                <wp:extent cx="1117600" cy="175895"/>
                <wp:effectExtent l="10795" t="17145" r="2730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7589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A839275" id="Rectangle 10" o:spid="_x0000_s1026" style="position:absolute;margin-left:332.85pt;margin-top:35.35pt;width:88pt;height:1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" filled="f" strokecolor="red" strokeweight="3pt"/>
            </w:pict>
          </mc:Fallback>
        </mc:AlternateContent>
      </w:r>
      <w:r w:rsidRPr="00837EC6">
        <w:rPr>
          <w:rFonts w:cs="Arial"/>
          <w:noProof/>
        </w:rPr>
        <mc:AlternateContent>
          <mc:Choice Requires="wps">
            <w:drawing>
              <wp:anchor distT="0" distB="0" distL="114300" distR="114300" simplePos="0" relativeHeight="251660288" behindDoc="0" locked="0" layoutInCell="1" allowOverlap="1" wp14:anchorId="5850036A" wp14:editId="5F664B60">
                <wp:simplePos x="0" y="0"/>
                <wp:positionH relativeFrom="column">
                  <wp:posOffset>4227195</wp:posOffset>
                </wp:positionH>
                <wp:positionV relativeFrom="paragraph">
                  <wp:posOffset>873760</wp:posOffset>
                </wp:positionV>
                <wp:extent cx="1117600" cy="149225"/>
                <wp:effectExtent l="10795" t="10160" r="27305" b="311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4922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535D9305" id="Rectangle 9" o:spid="_x0000_s1026" style="position:absolute;margin-left:332.85pt;margin-top:68.8pt;width:88pt;height: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" filled="f" strokecolor="red" strokeweight="3pt"/>
            </w:pict>
          </mc:Fallback>
        </mc:AlternateContent>
      </w:r>
      <w:r w:rsidRPr="00837EC6">
        <w:rPr>
          <w:rFonts w:cs="Arial"/>
          <w:noProof/>
        </w:rPr>
        <w:drawing>
          <wp:inline distT="0" distB="0" distL="0" distR="0" wp14:anchorId="109FF1B2" wp14:editId="71C2569C">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07209723" w14:textId="77777777" w:rsidR="00A13329" w:rsidRPr="00E05344" w:rsidRDefault="00A13329" w:rsidP="00A13329">
      <w:pPr>
        <w:pStyle w:val="Heading2"/>
      </w:pPr>
      <w:bookmarkStart w:id="7" w:name="_Toc500488807"/>
      <w:bookmarkStart w:id="8" w:name="_Toc501020629"/>
      <w:bookmarkStart w:id="9" w:name="_Toc483577578"/>
      <w:r w:rsidRPr="00E05344">
        <w:t>Audience</w:t>
      </w:r>
      <w:bookmarkEnd w:id="7"/>
      <w:bookmarkEnd w:id="8"/>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0"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lastRenderedPageBreak/>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2AAA2A7" w:rsidR="00A13329" w:rsidRDefault="00A13329" w:rsidP="00A13329">
      <w:pPr>
        <w:pStyle w:val="CS-Bodytext"/>
        <w:numPr>
          <w:ilvl w:val="0"/>
          <w:numId w:val="26"/>
        </w:numPr>
      </w:pPr>
      <w:r>
        <w:t>Project Managers – provides general information on data abstraction best practices.</w:t>
      </w:r>
    </w:p>
    <w:p w14:paraId="007D590C" w14:textId="77777777" w:rsidR="00A13329" w:rsidRPr="004E1011" w:rsidRDefault="00A13329" w:rsidP="00A13329">
      <w:pPr>
        <w:pStyle w:val="Heading2"/>
      </w:pPr>
      <w:bookmarkStart w:id="11" w:name="_Toc500488808"/>
      <w:bookmarkStart w:id="12" w:name="_Toc501020630"/>
      <w:r>
        <w:t>References</w:t>
      </w:r>
      <w:bookmarkEnd w:id="10"/>
      <w:bookmarkEnd w:id="11"/>
      <w:bookmarkEnd w:id="12"/>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3" w:name="_Toc501020631"/>
      <w:r w:rsidRPr="00A13329">
        <w:t>Pre-Requisites</w:t>
      </w:r>
      <w:bookmarkEnd w:id="9"/>
      <w:bookmarkEnd w:id="13"/>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E53F0A" w14:textId="5EF64E3E" w:rsidR="00F80BA9" w:rsidRPr="00837EC6" w:rsidRDefault="00837EC6" w:rsidP="00D023E5">
      <w:pPr>
        <w:tabs>
          <w:tab w:val="num" w:pos="360"/>
        </w:tabs>
        <w:spacing w:after="160" w:line="259" w:lineRule="auto"/>
        <w:ind w:left="360"/>
        <w:contextualSpacing/>
        <w:rPr>
          <w:rFonts w:ascii="Arial" w:hAnsi="Arial" w:cs="Arial"/>
          <w:noProof/>
        </w:rPr>
      </w:pPr>
      <w:r w:rsidRPr="00837EC6">
        <w:rPr>
          <w:rFonts w:ascii="Arial" w:hAnsi="Arial" w:cs="Arial"/>
        </w:rPr>
        <w:t>/shared/ASAssets/Utilities have been ins</w:t>
      </w:r>
      <w:r w:rsidR="009E2382">
        <w:rPr>
          <w:rFonts w:ascii="Arial" w:hAnsi="Arial" w:cs="Arial"/>
        </w:rPr>
        <w:t>talled and configured for 2018Q1</w:t>
      </w:r>
      <w:r w:rsidRPr="00837EC6">
        <w:rPr>
          <w:rFonts w:ascii="Arial" w:hAnsi="Arial" w:cs="Arial"/>
        </w:rPr>
        <w:t>.</w:t>
      </w:r>
    </w:p>
    <w:p w14:paraId="3FA3AF9A" w14:textId="49789528" w:rsidR="00CA57B2" w:rsidRDefault="00837EC6" w:rsidP="00CA57B2">
      <w:pPr>
        <w:pStyle w:val="Heading1Numbered"/>
      </w:pPr>
      <w:bookmarkStart w:id="14" w:name="_Toc501020632"/>
      <w:r>
        <w:lastRenderedPageBreak/>
        <w:t>Configuration</w:t>
      </w:r>
      <w:bookmarkEnd w:id="14"/>
    </w:p>
    <w:p w14:paraId="755DEF47" w14:textId="77777777" w:rsidR="00837EC6" w:rsidRPr="001C0B05" w:rsidRDefault="00837EC6" w:rsidP="00A13329">
      <w:pPr>
        <w:pStyle w:val="Heading2"/>
      </w:pPr>
      <w:bookmarkStart w:id="15" w:name="_Toc362605201"/>
      <w:bookmarkStart w:id="16" w:name="_Toc386358858"/>
      <w:bookmarkStart w:id="17" w:name="_Toc483577580"/>
      <w:bookmarkStart w:id="18" w:name="_Toc501020633"/>
      <w:r w:rsidRPr="001C0B05">
        <w:t xml:space="preserve">How to </w:t>
      </w:r>
      <w:bookmarkEnd w:id="15"/>
      <w:bookmarkEnd w:id="16"/>
      <w:r>
        <w:t>Configure</w:t>
      </w:r>
      <w:bookmarkEnd w:id="17"/>
      <w:bookmarkEnd w:id="18"/>
    </w:p>
    <w:p w14:paraId="2FB17067" w14:textId="77777777" w:rsidR="00837EC6" w:rsidRDefault="00837EC6" w:rsidP="00837EC6">
      <w:pPr>
        <w:pStyle w:val="CS-Bodytext"/>
      </w:pPr>
      <w:r>
        <w:t>This section provides information on how to configure the Manage Annotation Scripts.</w:t>
      </w:r>
    </w:p>
    <w:p w14:paraId="4531F1C4" w14:textId="77777777" w:rsidR="00837EC6" w:rsidRPr="001C0B05" w:rsidRDefault="00837EC6" w:rsidP="00837EC6">
      <w:pPr>
        <w:pStyle w:val="Heading3"/>
        <w:rPr>
          <w:color w:val="1F497D"/>
          <w:sz w:val="23"/>
          <w:szCs w:val="23"/>
        </w:rPr>
      </w:pPr>
      <w:bookmarkStart w:id="19" w:name="_Toc386358859"/>
      <w:bookmarkStart w:id="20" w:name="_Toc483577581"/>
      <w:bookmarkStart w:id="21" w:name="_Toc501020634"/>
      <w:bookmarkStart w:id="22" w:name="_Toc362605202"/>
      <w:r>
        <w:rPr>
          <w:color w:val="1F497D"/>
          <w:sz w:val="23"/>
          <w:szCs w:val="23"/>
        </w:rPr>
        <w:t>Manage Annotation Script Configuration Summary</w:t>
      </w:r>
      <w:bookmarkEnd w:id="19"/>
      <w:bookmarkEnd w:id="20"/>
      <w:bookmarkEnd w:id="21"/>
    </w:p>
    <w:p w14:paraId="2814B795" w14:textId="47862B63" w:rsidR="00837EC6" w:rsidRDefault="00837EC6" w:rsidP="003A3E89">
      <w:pPr>
        <w:pStyle w:val="CS-Bodytext"/>
        <w:numPr>
          <w:ilvl w:val="0"/>
          <w:numId w:val="22"/>
        </w:numPr>
        <w:spacing w:after="120"/>
      </w:pPr>
      <w:r>
        <w:t xml:space="preserve">Copy </w:t>
      </w:r>
      <w:r w:rsidR="00FE394C">
        <w:t>annotation</w:t>
      </w:r>
      <w:r>
        <w:t xml:space="preserve"> spreadsheet to file system</w:t>
      </w:r>
    </w:p>
    <w:p w14:paraId="3DD39EA1" w14:textId="77777777" w:rsidR="00837EC6" w:rsidRDefault="00837EC6" w:rsidP="003A3E89">
      <w:pPr>
        <w:pStyle w:val="CS-Bodytext"/>
        <w:numPr>
          <w:ilvl w:val="0"/>
          <w:numId w:val="22"/>
        </w:numPr>
        <w:spacing w:after="120"/>
      </w:pPr>
      <w:r>
        <w:t>Modify datasource connections</w:t>
      </w:r>
    </w:p>
    <w:p w14:paraId="7A79559C" w14:textId="77777777" w:rsidR="00837EC6" w:rsidRPr="00E12330" w:rsidRDefault="00837EC6" w:rsidP="003A3E89">
      <w:pPr>
        <w:pStyle w:val="CS-Bodytext"/>
        <w:numPr>
          <w:ilvl w:val="0"/>
          <w:numId w:val="22"/>
        </w:numPr>
        <w:spacing w:after="120"/>
      </w:pPr>
      <w:r>
        <w:rPr>
          <w:bCs/>
        </w:rPr>
        <w:t>Reintrospect datasources</w:t>
      </w:r>
    </w:p>
    <w:p w14:paraId="1BD63AAF" w14:textId="77777777" w:rsidR="00837EC6" w:rsidRPr="00E12330" w:rsidRDefault="00837EC6" w:rsidP="003A3E89">
      <w:pPr>
        <w:pStyle w:val="CS-Bodytext"/>
        <w:numPr>
          <w:ilvl w:val="0"/>
          <w:numId w:val="22"/>
        </w:numPr>
        <w:spacing w:after="120"/>
      </w:pPr>
      <w:r>
        <w:rPr>
          <w:bCs/>
        </w:rPr>
        <w:t>Test datasources</w:t>
      </w:r>
    </w:p>
    <w:p w14:paraId="04960C8A" w14:textId="77777777" w:rsidR="00837EC6" w:rsidRPr="001C0B05" w:rsidRDefault="00837EC6" w:rsidP="00837EC6">
      <w:pPr>
        <w:pStyle w:val="Heading3"/>
        <w:rPr>
          <w:color w:val="1F497D"/>
          <w:sz w:val="23"/>
          <w:szCs w:val="23"/>
        </w:rPr>
      </w:pPr>
      <w:bookmarkStart w:id="23" w:name="_Toc386358860"/>
      <w:bookmarkStart w:id="24" w:name="_Toc483577582"/>
      <w:bookmarkStart w:id="25" w:name="_Toc501020635"/>
      <w:r w:rsidRPr="001C0B05">
        <w:rPr>
          <w:color w:val="1F497D"/>
          <w:sz w:val="23"/>
          <w:szCs w:val="23"/>
        </w:rPr>
        <w:t>Best Practices Installation</w:t>
      </w:r>
      <w:bookmarkEnd w:id="22"/>
      <w:bookmarkEnd w:id="23"/>
      <w:bookmarkEnd w:id="24"/>
      <w:bookmarkEnd w:id="25"/>
    </w:p>
    <w:p w14:paraId="0B6BD01F" w14:textId="77777777" w:rsidR="00837EC6" w:rsidRDefault="00837EC6" w:rsidP="003A3E89">
      <w:pPr>
        <w:pStyle w:val="CS-Bodytext"/>
        <w:numPr>
          <w:ilvl w:val="0"/>
          <w:numId w:val="23"/>
        </w:numPr>
        <w:spacing w:after="120"/>
        <w:ind w:right="14"/>
      </w:pPr>
      <w:r w:rsidRPr="003E6CD2">
        <w:t>Install Best Practices Spreadsheets</w:t>
      </w:r>
    </w:p>
    <w:p w14:paraId="421BDB67" w14:textId="1860A2EB" w:rsidR="00837EC6" w:rsidRPr="003E6CD2" w:rsidRDefault="00837EC6" w:rsidP="003A3E89">
      <w:pPr>
        <w:pStyle w:val="CS-Bodytext"/>
        <w:numPr>
          <w:ilvl w:val="1"/>
          <w:numId w:val="23"/>
        </w:numPr>
        <w:spacing w:after="120"/>
        <w:ind w:right="14"/>
      </w:pPr>
      <w:r>
        <w:t>Follow the Data Abstraction Best Practices installation directions found in this document: “</w:t>
      </w:r>
      <w:r w:rsidRPr="00A655DB">
        <w:rPr>
          <w:b/>
        </w:rPr>
        <w:t xml:space="preserve">How To Use AS </w:t>
      </w:r>
      <w:r w:rsidR="00B96E0B">
        <w:rPr>
          <w:b/>
        </w:rPr>
        <w:t xml:space="preserve">Data Abstraction </w:t>
      </w:r>
      <w:r w:rsidRPr="00A655DB">
        <w:rPr>
          <w:b/>
        </w:rPr>
        <w:t>Best Practices.pdf</w:t>
      </w:r>
      <w:r>
        <w:rPr>
          <w:b/>
        </w:rPr>
        <w:t>”</w:t>
      </w:r>
    </w:p>
    <w:p w14:paraId="41BCC35A" w14:textId="4F755E23" w:rsidR="00837EC6" w:rsidRDefault="00837EC6" w:rsidP="003A3E89">
      <w:pPr>
        <w:pStyle w:val="CS-Bodytext"/>
        <w:numPr>
          <w:ilvl w:val="0"/>
          <w:numId w:val="23"/>
        </w:numPr>
        <w:spacing w:after="120"/>
      </w:pPr>
      <w:r>
        <w:t xml:space="preserve">Copy </w:t>
      </w:r>
      <w:r w:rsidR="00FE394C">
        <w:t>annotation</w:t>
      </w:r>
      <w:r>
        <w:t xml:space="preserve"> spreadsheet to file system</w:t>
      </w:r>
    </w:p>
    <w:p w14:paraId="019F31BC" w14:textId="77777777" w:rsidR="00837EC6" w:rsidRDefault="00837EC6" w:rsidP="003A3E89">
      <w:pPr>
        <w:pStyle w:val="CS-Bodytext"/>
        <w:numPr>
          <w:ilvl w:val="1"/>
          <w:numId w:val="23"/>
        </w:numPr>
        <w:spacing w:after="120"/>
      </w:pPr>
      <w:r>
        <w:t>This should have been done during installation of the Best Practices.  Verify this.</w:t>
      </w:r>
    </w:p>
    <w:p w14:paraId="5343AB33" w14:textId="77777777" w:rsidR="00837EC6" w:rsidRDefault="00837EC6" w:rsidP="003A3E89">
      <w:pPr>
        <w:pStyle w:val="CS-Bodytext"/>
        <w:numPr>
          <w:ilvl w:val="0"/>
          <w:numId w:val="23"/>
        </w:numPr>
      </w:pPr>
      <w:r>
        <w:t>Modify the data source path or connection information:</w:t>
      </w:r>
    </w:p>
    <w:p w14:paraId="660B9C51" w14:textId="77777777" w:rsidR="00837EC6" w:rsidRDefault="00837EC6" w:rsidP="003A3E89">
      <w:pPr>
        <w:pStyle w:val="CS-Bodytext"/>
        <w:numPr>
          <w:ilvl w:val="1"/>
          <w:numId w:val="23"/>
        </w:numPr>
      </w:pPr>
      <w:r>
        <w:t>EXCEL: modify the root path if needed.</w:t>
      </w:r>
    </w:p>
    <w:p w14:paraId="6678BE18" w14:textId="47B335AC" w:rsidR="00837EC6" w:rsidRPr="00E330EB" w:rsidRDefault="00B613AB" w:rsidP="003A3E89">
      <w:pPr>
        <w:pStyle w:val="CS-Bodytext"/>
        <w:numPr>
          <w:ilvl w:val="2"/>
          <w:numId w:val="23"/>
        </w:numPr>
        <w:rPr>
          <w:sz w:val="18"/>
        </w:rPr>
      </w:pPr>
      <w:r>
        <w:t>DV</w:t>
      </w:r>
      <w:r w:rsidR="00837EC6" w:rsidRPr="00E330EB">
        <w:t xml:space="preserve"> Location:    [EXCEL] </w:t>
      </w:r>
      <w:r w:rsidR="00837EC6" w:rsidRPr="00E330EB">
        <w:rPr>
          <w:sz w:val="18"/>
        </w:rPr>
        <w:t>/shared/ASAssets/BestPractices_v81/ManageAnnotations/Metadata/ManageAnnotations_EXCEL</w:t>
      </w:r>
    </w:p>
    <w:p w14:paraId="4121836C" w14:textId="59F8F057" w:rsidR="00837EC6" w:rsidRPr="00E330EB" w:rsidRDefault="00837EC6" w:rsidP="003A3E89">
      <w:pPr>
        <w:pStyle w:val="CS-Bodytext"/>
        <w:numPr>
          <w:ilvl w:val="2"/>
          <w:numId w:val="23"/>
        </w:numPr>
        <w:spacing w:after="120"/>
        <w:ind w:right="14"/>
      </w:pPr>
      <w:r w:rsidRPr="00E330EB">
        <w:t>E.g. root path: C:/</w:t>
      </w:r>
      <w:r w:rsidR="00B613AB">
        <w:t>CIS7.0</w:t>
      </w:r>
      <w:r w:rsidRPr="00E330EB">
        <w:t>/BestPractices/Annotations</w:t>
      </w:r>
    </w:p>
    <w:p w14:paraId="3DBBA4DF" w14:textId="77777777" w:rsidR="00837EC6" w:rsidRDefault="00837EC6" w:rsidP="003A3E89">
      <w:pPr>
        <w:pStyle w:val="CS-Bodytext"/>
        <w:numPr>
          <w:ilvl w:val="0"/>
          <w:numId w:val="23"/>
        </w:numPr>
      </w:pPr>
      <w:r>
        <w:t>Reintrospect the “ManageAnnotations_EXCEL” data source</w:t>
      </w:r>
    </w:p>
    <w:p w14:paraId="62B0C24C" w14:textId="77777777" w:rsidR="00837EC6" w:rsidRDefault="00837EC6" w:rsidP="003A3E89">
      <w:pPr>
        <w:pStyle w:val="CS-Bodytext"/>
        <w:numPr>
          <w:ilvl w:val="0"/>
          <w:numId w:val="23"/>
        </w:numPr>
      </w:pPr>
      <w:r>
        <w:t>Test the data source</w:t>
      </w:r>
    </w:p>
    <w:p w14:paraId="321ABBCC" w14:textId="28AF7D12" w:rsidR="00837EC6" w:rsidRDefault="00837EC6" w:rsidP="003A3E89">
      <w:pPr>
        <w:pStyle w:val="CS-Bodytext"/>
        <w:numPr>
          <w:ilvl w:val="1"/>
          <w:numId w:val="23"/>
        </w:numPr>
      </w:pPr>
      <w:r>
        <w:t xml:space="preserve">Show Contents for the “ResourceAnnotations” worksheet </w:t>
      </w:r>
      <w:r w:rsidR="00FE394C">
        <w:t>to ensure that</w:t>
      </w:r>
      <w:r>
        <w:t xml:space="preserve"> data is being retrieved.</w:t>
      </w:r>
    </w:p>
    <w:p w14:paraId="46A340F3" w14:textId="77777777" w:rsidR="00837EC6" w:rsidRDefault="00837EC6" w:rsidP="003A3E89">
      <w:pPr>
        <w:pStyle w:val="CS-Bodytext"/>
        <w:numPr>
          <w:ilvl w:val="0"/>
          <w:numId w:val="23"/>
        </w:numPr>
      </w:pPr>
      <w:r>
        <w:t>Generate</w:t>
      </w:r>
      <w:r w:rsidRPr="009A364E">
        <w:t xml:space="preserve"> the </w:t>
      </w:r>
      <w:r>
        <w:t xml:space="preserve">Resource Annotation spreadsheet using the script </w:t>
      </w:r>
      <w:r w:rsidRPr="00DF0749">
        <w:t>/shared/ASAssets/BestPractices_v81/ManageAnnotations/generateResourceListToCSV</w:t>
      </w:r>
    </w:p>
    <w:p w14:paraId="7FFF7AD2" w14:textId="77777777" w:rsidR="00837EC6" w:rsidRDefault="00837EC6" w:rsidP="003A3E89">
      <w:pPr>
        <w:pStyle w:val="CS-Bodytext"/>
        <w:numPr>
          <w:ilvl w:val="0"/>
          <w:numId w:val="23"/>
        </w:numPr>
      </w:pPr>
      <w:r>
        <w:t>Modify the annotations as needed</w:t>
      </w:r>
    </w:p>
    <w:p w14:paraId="2C349B2B" w14:textId="0717D49C" w:rsidR="00CA57B2" w:rsidRPr="00524EE5" w:rsidRDefault="00837EC6" w:rsidP="00837EC6">
      <w:pPr>
        <w:pStyle w:val="CS-Bodytext"/>
        <w:spacing w:line="360" w:lineRule="auto"/>
        <w:ind w:left="720"/>
        <w:rPr>
          <w:rFonts w:cs="Arial"/>
          <w:sz w:val="20"/>
        </w:rPr>
      </w:pPr>
      <w:r>
        <w:t>Place the values back into the original spreadsheet for use during “updateAnnotations”.</w:t>
      </w:r>
    </w:p>
    <w:p w14:paraId="79318E8B" w14:textId="7AFD93FC" w:rsidR="00CA57B2" w:rsidRDefault="005726E4" w:rsidP="00CA57B2">
      <w:pPr>
        <w:pStyle w:val="Heading1Numbered"/>
      </w:pPr>
      <w:bookmarkStart w:id="26" w:name="_Toc501020636"/>
      <w:r>
        <w:lastRenderedPageBreak/>
        <w:t>Executing</w:t>
      </w:r>
      <w:r w:rsidR="00837EC6">
        <w:t xml:space="preserve"> Resource Annotations</w:t>
      </w:r>
      <w:bookmarkEnd w:id="26"/>
    </w:p>
    <w:p w14:paraId="3F2496E0" w14:textId="77777777" w:rsidR="00837EC6" w:rsidRPr="00837EC6" w:rsidRDefault="00837EC6" w:rsidP="00A13329">
      <w:pPr>
        <w:pStyle w:val="Heading2"/>
      </w:pPr>
      <w:bookmarkStart w:id="27" w:name="_Toc483577584"/>
      <w:bookmarkStart w:id="28" w:name="_Toc501020637"/>
      <w:r w:rsidRPr="00837EC6">
        <w:t>Introduction</w:t>
      </w:r>
      <w:bookmarkEnd w:id="27"/>
      <w:bookmarkEnd w:id="28"/>
    </w:p>
    <w:p w14:paraId="79BCDF8C" w14:textId="71502DE1" w:rsidR="00837EC6" w:rsidRPr="00837EC6" w:rsidRDefault="00837EC6" w:rsidP="00837EC6">
      <w:pPr>
        <w:pStyle w:val="CS-Bodytext"/>
        <w:rPr>
          <w:rFonts w:cs="Arial"/>
          <w:b/>
        </w:rPr>
      </w:pPr>
      <w:r w:rsidRPr="00837EC6">
        <w:rPr>
          <w:rFonts w:cs="Arial"/>
        </w:rPr>
        <w:t xml:space="preserve">This section provides guidance on how to manage the process for generating and updating </w:t>
      </w:r>
      <w:r>
        <w:rPr>
          <w:rFonts w:cs="Arial"/>
        </w:rPr>
        <w:t>DV</w:t>
      </w:r>
      <w:r w:rsidRPr="00837EC6">
        <w:rPr>
          <w:rFonts w:cs="Arial"/>
        </w:rPr>
        <w:t xml:space="preserve"> resource annotations.</w:t>
      </w:r>
    </w:p>
    <w:p w14:paraId="5DD8E555" w14:textId="77777777" w:rsidR="00837EC6" w:rsidRPr="00837EC6" w:rsidRDefault="00837EC6" w:rsidP="00837EC6">
      <w:pPr>
        <w:pStyle w:val="Heading3"/>
        <w:rPr>
          <w:color w:val="FF0000"/>
          <w:sz w:val="23"/>
          <w:szCs w:val="23"/>
        </w:rPr>
      </w:pPr>
      <w:bookmarkStart w:id="29" w:name="_Toc362605212"/>
      <w:bookmarkStart w:id="30" w:name="_Toc386358875"/>
      <w:bookmarkStart w:id="31" w:name="_Toc483577585"/>
      <w:bookmarkStart w:id="32" w:name="_Toc501020638"/>
      <w:r w:rsidRPr="00837EC6">
        <w:rPr>
          <w:color w:val="1F497D"/>
          <w:sz w:val="23"/>
          <w:szCs w:val="23"/>
        </w:rPr>
        <w:t>Instructions</w:t>
      </w:r>
      <w:bookmarkEnd w:id="29"/>
      <w:bookmarkEnd w:id="30"/>
      <w:bookmarkEnd w:id="31"/>
      <w:bookmarkEnd w:id="32"/>
    </w:p>
    <w:p w14:paraId="64E2E83C"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6FF43763" w14:textId="77777777" w:rsidR="00837EC6" w:rsidRPr="00837EC6" w:rsidRDefault="00837EC6" w:rsidP="003A3E89">
      <w:pPr>
        <w:pStyle w:val="CS-Bodytext"/>
        <w:numPr>
          <w:ilvl w:val="1"/>
          <w:numId w:val="24"/>
        </w:numPr>
        <w:rPr>
          <w:rFonts w:cs="Arial"/>
        </w:rPr>
      </w:pPr>
      <w:r w:rsidRPr="00837EC6">
        <w:rPr>
          <w:rFonts w:cs="Arial"/>
        </w:rPr>
        <w:t xml:space="preserve">Generate the Resource Annotation spreadsheet using the script </w:t>
      </w:r>
      <w:r w:rsidRPr="00837EC6">
        <w:rPr>
          <w:rFonts w:cs="Arial"/>
          <w:sz w:val="20"/>
        </w:rPr>
        <w:t>/shared/ASAssets/BestPractices_v81/ManageAnnotations/generateResourceListToCSV</w:t>
      </w:r>
    </w:p>
    <w:p w14:paraId="06FDB8E5" w14:textId="2526CED2" w:rsidR="00837EC6" w:rsidRPr="00837EC6" w:rsidRDefault="00837EC6" w:rsidP="003A3E89">
      <w:pPr>
        <w:pStyle w:val="CS-Bodytext"/>
        <w:numPr>
          <w:ilvl w:val="2"/>
          <w:numId w:val="24"/>
        </w:numPr>
        <w:rPr>
          <w:rFonts w:cs="Arial"/>
        </w:rPr>
      </w:pPr>
      <w:r w:rsidRPr="00837EC6">
        <w:rPr>
          <w:rFonts w:cs="Arial"/>
          <w:sz w:val="20"/>
        </w:rPr>
        <w:t xml:space="preserve">Resources get generated onto the </w:t>
      </w:r>
      <w:r>
        <w:rPr>
          <w:rFonts w:cs="Arial"/>
          <w:sz w:val="20"/>
        </w:rPr>
        <w:t>DV</w:t>
      </w:r>
      <w:r w:rsidRPr="00837EC6">
        <w:rPr>
          <w:rFonts w:cs="Arial"/>
          <w:sz w:val="20"/>
        </w:rPr>
        <w:t xml:space="preserve"> server.  You will need a download user folder and the ability to FTP the file to your local machine.</w:t>
      </w:r>
    </w:p>
    <w:p w14:paraId="4EAADA45"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Generate Resource Annotation List to CSV</w:t>
      </w:r>
    </w:p>
    <w:p w14:paraId="0B8461EF" w14:textId="77777777" w:rsidR="00837EC6" w:rsidRPr="00837EC6" w:rsidRDefault="00837EC6" w:rsidP="003A3E89">
      <w:pPr>
        <w:numPr>
          <w:ilvl w:val="3"/>
          <w:numId w:val="24"/>
        </w:numPr>
        <w:spacing w:after="200" w:line="259" w:lineRule="auto"/>
        <w:contextualSpacing/>
        <w:rPr>
          <w:rFonts w:ascii="Arial" w:hAnsi="Arial" w:cs="Arial"/>
          <w:sz w:val="22"/>
        </w:rPr>
      </w:pPr>
      <w:r w:rsidRPr="00837EC6">
        <w:rPr>
          <w:rFonts w:ascii="Arial" w:hAnsi="Arial" w:cs="Arial"/>
          <w:sz w:val="22"/>
        </w:rPr>
        <w:t>Sheet:  ResourceAnnotations</w:t>
      </w:r>
    </w:p>
    <w:p w14:paraId="70ADD1A2"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 xml:space="preserve">Script: </w:t>
      </w:r>
      <w:r w:rsidRPr="00837EC6">
        <w:rPr>
          <w:rFonts w:ascii="Arial" w:hAnsi="Arial" w:cs="Arial"/>
          <w:b/>
          <w:sz w:val="22"/>
        </w:rPr>
        <w:t>generateResourceListToCSV</w:t>
      </w:r>
    </w:p>
    <w:p w14:paraId="57501C73" w14:textId="77777777" w:rsidR="00837EC6" w:rsidRPr="00837EC6" w:rsidRDefault="00837EC6" w:rsidP="003A3E89">
      <w:pPr>
        <w:numPr>
          <w:ilvl w:val="4"/>
          <w:numId w:val="24"/>
        </w:numPr>
        <w:spacing w:after="160" w:line="259" w:lineRule="auto"/>
        <w:contextualSpacing/>
        <w:rPr>
          <w:rFonts w:ascii="Arial" w:hAnsi="Arial" w:cs="Arial"/>
          <w:sz w:val="22"/>
        </w:rPr>
      </w:pPr>
      <w:r w:rsidRPr="00837EC6">
        <w:rPr>
          <w:rFonts w:ascii="Arial" w:hAnsi="Arial" w:cs="Arial"/>
          <w:i/>
          <w:sz w:val="22"/>
        </w:rPr>
        <w:t>startingPath</w:t>
      </w:r>
      <w:r w:rsidRPr="00837EC6">
        <w:rPr>
          <w:rFonts w:ascii="Arial" w:hAnsi="Arial" w:cs="Arial"/>
          <w:sz w:val="22"/>
        </w:rPr>
        <w:t>:</w:t>
      </w:r>
      <w:r w:rsidRPr="00837EC6">
        <w:rPr>
          <w:rFonts w:ascii="Arial" w:hAnsi="Arial" w:cs="Arial"/>
          <w:sz w:val="22"/>
        </w:rPr>
        <w:tab/>
        <w:t>/shared/lab00/Application/Views/ds_orders1</w:t>
      </w:r>
    </w:p>
    <w:p w14:paraId="3760577F" w14:textId="77777777" w:rsidR="00837EC6" w:rsidRPr="00837EC6" w:rsidRDefault="00837EC6" w:rsidP="003A3E89">
      <w:pPr>
        <w:numPr>
          <w:ilvl w:val="4"/>
          <w:numId w:val="24"/>
        </w:numPr>
        <w:spacing w:after="160" w:line="259" w:lineRule="auto"/>
        <w:contextualSpacing/>
        <w:rPr>
          <w:rFonts w:ascii="Arial" w:hAnsi="Arial" w:cs="Arial"/>
          <w:sz w:val="22"/>
        </w:rPr>
      </w:pPr>
      <w:r w:rsidRPr="00837EC6">
        <w:rPr>
          <w:rFonts w:ascii="Arial" w:hAnsi="Arial" w:cs="Arial"/>
          <w:i/>
          <w:sz w:val="22"/>
        </w:rPr>
        <w:t>csvFilePath:</w:t>
      </w:r>
      <w:r w:rsidRPr="00837EC6">
        <w:rPr>
          <w:rFonts w:ascii="Arial" w:hAnsi="Arial" w:cs="Arial"/>
          <w:sz w:val="22"/>
        </w:rPr>
        <w:tab/>
        <w:t>C:\BestPractices\Annotations\note.csv</w:t>
      </w:r>
    </w:p>
    <w:p w14:paraId="06097650" w14:textId="77777777" w:rsidR="00837EC6" w:rsidRPr="00837EC6" w:rsidRDefault="00837EC6" w:rsidP="003A3E89">
      <w:pPr>
        <w:pStyle w:val="CS-Bodytext"/>
        <w:numPr>
          <w:ilvl w:val="1"/>
          <w:numId w:val="24"/>
        </w:numPr>
        <w:rPr>
          <w:rFonts w:cs="Arial"/>
        </w:rPr>
      </w:pPr>
      <w:r w:rsidRPr="00837EC6">
        <w:rPr>
          <w:rFonts w:cs="Arial"/>
        </w:rPr>
        <w:t>Modify the annotations as needed</w:t>
      </w:r>
    </w:p>
    <w:p w14:paraId="340C8001" w14:textId="77777777" w:rsidR="00837EC6" w:rsidRPr="00837EC6" w:rsidRDefault="00837EC6" w:rsidP="003A3E89">
      <w:pPr>
        <w:pStyle w:val="CS-Bodytext"/>
        <w:numPr>
          <w:ilvl w:val="2"/>
          <w:numId w:val="24"/>
        </w:numPr>
        <w:rPr>
          <w:rFonts w:cs="Arial"/>
        </w:rPr>
      </w:pPr>
      <w:r w:rsidRPr="00837EC6">
        <w:rPr>
          <w:rFonts w:cs="Arial"/>
        </w:rPr>
        <w:t>Convert the .csv to .xlsx as it makes it easier to edit</w:t>
      </w:r>
    </w:p>
    <w:p w14:paraId="5E976EE4" w14:textId="77777777" w:rsidR="00837EC6" w:rsidRPr="00837EC6" w:rsidRDefault="00837EC6" w:rsidP="003A3E89">
      <w:pPr>
        <w:pStyle w:val="CS-Bodytext"/>
        <w:numPr>
          <w:ilvl w:val="1"/>
          <w:numId w:val="24"/>
        </w:numPr>
        <w:rPr>
          <w:rFonts w:cs="Arial"/>
        </w:rPr>
      </w:pPr>
      <w:r w:rsidRPr="00837EC6">
        <w:rPr>
          <w:rFonts w:cs="Arial"/>
        </w:rPr>
        <w:t>Place the values back into the original spreadsheet for use during “updateAnnotations”.</w:t>
      </w:r>
    </w:p>
    <w:p w14:paraId="72861A6F" w14:textId="77777777" w:rsidR="00837EC6" w:rsidRPr="00837EC6" w:rsidRDefault="00837EC6" w:rsidP="003A3E89">
      <w:pPr>
        <w:pStyle w:val="CS-Bodytext"/>
        <w:numPr>
          <w:ilvl w:val="2"/>
          <w:numId w:val="24"/>
        </w:numPr>
        <w:rPr>
          <w:rFonts w:cs="Arial"/>
        </w:rPr>
      </w:pPr>
      <w:r w:rsidRPr="00837EC6">
        <w:rPr>
          <w:rFonts w:cs="Arial"/>
        </w:rPr>
        <w:t>Either rename the file you downloaded or copy the values back to the original ResourceAnnotations.xlsx spreadsheet.</w:t>
      </w:r>
    </w:p>
    <w:p w14:paraId="1DB10CF6" w14:textId="489C90EE" w:rsidR="00837EC6" w:rsidRPr="00837EC6" w:rsidRDefault="00837EC6" w:rsidP="003A3E89">
      <w:pPr>
        <w:pStyle w:val="CS-Bodytext"/>
        <w:numPr>
          <w:ilvl w:val="1"/>
          <w:numId w:val="24"/>
        </w:numPr>
        <w:rPr>
          <w:rFonts w:cs="Arial"/>
        </w:rPr>
      </w:pPr>
      <w:r w:rsidRPr="00837EC6">
        <w:rPr>
          <w:rFonts w:cs="Arial"/>
        </w:rPr>
        <w:t xml:space="preserve">Upload the file back to the </w:t>
      </w:r>
      <w:r w:rsidR="00B613AB">
        <w:rPr>
          <w:rFonts w:cs="Arial"/>
        </w:rPr>
        <w:t>DV</w:t>
      </w:r>
      <w:r w:rsidRPr="00837EC6">
        <w:rPr>
          <w:rFonts w:cs="Arial"/>
        </w:rPr>
        <w:t xml:space="preserve"> server to replace the existing one.</w:t>
      </w:r>
    </w:p>
    <w:p w14:paraId="2C4AFDEE" w14:textId="77777777" w:rsidR="00837EC6" w:rsidRPr="00837EC6" w:rsidRDefault="00837EC6" w:rsidP="003A3E89">
      <w:pPr>
        <w:pStyle w:val="CS-Bodytext"/>
        <w:numPr>
          <w:ilvl w:val="1"/>
          <w:numId w:val="24"/>
        </w:numPr>
        <w:rPr>
          <w:rFonts w:cs="Arial"/>
        </w:rPr>
      </w:pPr>
      <w:r w:rsidRPr="00837EC6">
        <w:rPr>
          <w:rFonts w:cs="Arial"/>
        </w:rPr>
        <w:t>Test the data source</w:t>
      </w:r>
    </w:p>
    <w:p w14:paraId="53FC4EA7" w14:textId="59618CE6" w:rsidR="00837EC6" w:rsidRPr="00837EC6" w:rsidRDefault="00837EC6" w:rsidP="003A3E89">
      <w:pPr>
        <w:pStyle w:val="CS-Bodytext"/>
        <w:numPr>
          <w:ilvl w:val="2"/>
          <w:numId w:val="24"/>
        </w:numPr>
        <w:rPr>
          <w:rFonts w:cs="Arial"/>
        </w:rPr>
      </w:pPr>
      <w:r w:rsidRPr="00837EC6">
        <w:rPr>
          <w:rFonts w:cs="Arial"/>
        </w:rPr>
        <w:t xml:space="preserve">Show Contents for the “ResourceAnnotations” worksheet </w:t>
      </w:r>
      <w:r w:rsidR="00FE394C" w:rsidRPr="00837EC6">
        <w:rPr>
          <w:rFonts w:cs="Arial"/>
        </w:rPr>
        <w:t>to ensure that</w:t>
      </w:r>
      <w:r w:rsidRPr="00837EC6">
        <w:rPr>
          <w:rFonts w:cs="Arial"/>
        </w:rPr>
        <w:t xml:space="preserve"> data is being retrieved.</w:t>
      </w:r>
    </w:p>
    <w:p w14:paraId="1162498B" w14:textId="77777777" w:rsidR="00837EC6" w:rsidRPr="00837EC6" w:rsidRDefault="00837EC6" w:rsidP="003A3E89">
      <w:pPr>
        <w:numPr>
          <w:ilvl w:val="1"/>
          <w:numId w:val="24"/>
        </w:numPr>
        <w:spacing w:after="160" w:line="259" w:lineRule="auto"/>
        <w:contextualSpacing/>
        <w:rPr>
          <w:rFonts w:ascii="Arial" w:hAnsi="Arial" w:cs="Arial"/>
          <w:sz w:val="22"/>
        </w:rPr>
      </w:pPr>
      <w:r w:rsidRPr="00837EC6">
        <w:rPr>
          <w:rFonts w:ascii="Arial" w:hAnsi="Arial" w:cs="Arial"/>
          <w:sz w:val="22"/>
        </w:rPr>
        <w:t>Update Resource Annotations</w:t>
      </w:r>
    </w:p>
    <w:p w14:paraId="02AC0A0E"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Sheet:  ResourceAnnotations</w:t>
      </w:r>
    </w:p>
    <w:p w14:paraId="1D0A632D"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Script: </w:t>
      </w:r>
      <w:r w:rsidRPr="00837EC6">
        <w:rPr>
          <w:rFonts w:ascii="Arial" w:hAnsi="Arial" w:cs="Arial"/>
          <w:b/>
          <w:sz w:val="22"/>
        </w:rPr>
        <w:t>updateAnnotations</w:t>
      </w:r>
    </w:p>
    <w:p w14:paraId="328B6FA5"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i/>
          <w:sz w:val="22"/>
        </w:rPr>
        <w:t>performUpdate</w:t>
      </w:r>
      <w:r w:rsidRPr="00837EC6">
        <w:rPr>
          <w:rFonts w:ascii="Arial" w:hAnsi="Arial" w:cs="Arial"/>
          <w:sz w:val="22"/>
        </w:rPr>
        <w:t>:</w:t>
      </w:r>
      <w:r w:rsidRPr="00837EC6">
        <w:rPr>
          <w:rFonts w:ascii="Arial" w:hAnsi="Arial" w:cs="Arial"/>
          <w:sz w:val="22"/>
        </w:rPr>
        <w:tab/>
        <w:t>0 or 1.</w:t>
      </w:r>
    </w:p>
    <w:p w14:paraId="2A46E38F"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The next parameter “</w:t>
      </w:r>
      <w:r w:rsidRPr="00837EC6">
        <w:rPr>
          <w:rFonts w:ascii="Arial" w:hAnsi="Arial" w:cs="Arial"/>
          <w:i/>
          <w:sz w:val="22"/>
        </w:rPr>
        <w:t>inSqlStatement</w:t>
      </w:r>
      <w:r w:rsidRPr="00837EC6">
        <w:rPr>
          <w:rFonts w:ascii="Arial" w:hAnsi="Arial" w:cs="Arial"/>
          <w:sz w:val="22"/>
        </w:rPr>
        <w:t>” provides the user with a way to inject there own datasoure rather than using the default</w:t>
      </w:r>
    </w:p>
    <w:p w14:paraId="7C94BDE3" w14:textId="77777777" w:rsidR="00837EC6" w:rsidRPr="00837EC6" w:rsidRDefault="00837EC6" w:rsidP="003A3E89">
      <w:pPr>
        <w:numPr>
          <w:ilvl w:val="3"/>
          <w:numId w:val="24"/>
        </w:numPr>
        <w:spacing w:after="120" w:line="259" w:lineRule="auto"/>
        <w:ind w:right="14"/>
        <w:contextualSpacing/>
        <w:rPr>
          <w:rFonts w:ascii="Arial" w:hAnsi="Arial" w:cs="Arial"/>
        </w:rPr>
      </w:pPr>
      <w:r w:rsidRPr="00837EC6">
        <w:rPr>
          <w:rFonts w:ascii="Arial" w:hAnsi="Arial" w:cs="Arial"/>
          <w:i/>
          <w:sz w:val="22"/>
        </w:rPr>
        <w:t>inSqlStatement</w:t>
      </w:r>
      <w:r w:rsidRPr="00837EC6">
        <w:rPr>
          <w:rFonts w:ascii="Arial" w:hAnsi="Arial" w:cs="Arial"/>
          <w:sz w:val="22"/>
        </w:rPr>
        <w:t>:</w:t>
      </w:r>
      <w:r w:rsidRPr="00837EC6">
        <w:rPr>
          <w:rFonts w:ascii="Arial" w:hAnsi="Arial" w:cs="Arial"/>
          <w:sz w:val="22"/>
        </w:rPr>
        <w:tab/>
      </w:r>
      <w:r w:rsidRPr="00837EC6">
        <w:rPr>
          <w:rFonts w:ascii="Arial" w:hAnsi="Arial" w:cs="Arial"/>
          <w:sz w:val="20"/>
        </w:rPr>
        <w:t xml:space="preserve">select PhysicalName, PhysicalType, ResourcePath, ResourceAnnotation from </w:t>
      </w:r>
      <w:r w:rsidRPr="00837EC6">
        <w:rPr>
          <w:rFonts w:ascii="Arial" w:hAnsi="Arial" w:cs="Arial"/>
          <w:sz w:val="20"/>
        </w:rPr>
        <w:lastRenderedPageBreak/>
        <w:t>/shared/ASAssets/BestPractices_v81/ManageAnnotations/Formatting/ResourceAnnotations</w:t>
      </w:r>
    </w:p>
    <w:p w14:paraId="71459E9B" w14:textId="77777777" w:rsidR="00837EC6" w:rsidRPr="00837EC6" w:rsidRDefault="00837EC6" w:rsidP="00837EC6">
      <w:pPr>
        <w:pStyle w:val="Heading3"/>
        <w:rPr>
          <w:color w:val="FF0000"/>
          <w:sz w:val="23"/>
          <w:szCs w:val="23"/>
        </w:rPr>
      </w:pPr>
      <w:bookmarkStart w:id="33" w:name="_Toc483577586"/>
      <w:bookmarkStart w:id="34" w:name="_Toc501020639"/>
      <w:r w:rsidRPr="00837EC6">
        <w:rPr>
          <w:color w:val="1F497D"/>
          <w:sz w:val="23"/>
          <w:szCs w:val="23"/>
        </w:rPr>
        <w:t>ResourceAnnotation Spreadsheet Definition</w:t>
      </w:r>
      <w:bookmarkEnd w:id="33"/>
      <w:bookmarkEnd w:id="34"/>
    </w:p>
    <w:p w14:paraId="16E284F1"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0B12C2EF" w14:textId="77777777" w:rsidR="00837EC6" w:rsidRPr="00837EC6" w:rsidRDefault="00837EC6" w:rsidP="00837EC6">
      <w:pPr>
        <w:ind w:left="360"/>
        <w:rPr>
          <w:rFonts w:ascii="Arial" w:hAnsi="Arial" w:cs="Arial"/>
          <w:color w:val="000000"/>
          <w:sz w:val="22"/>
          <w:szCs w:val="22"/>
        </w:rPr>
      </w:pPr>
      <w:r w:rsidRPr="00837EC6">
        <w:rPr>
          <w:rFonts w:ascii="Arial" w:hAnsi="Arial" w:cs="Arial"/>
          <w:color w:val="000000"/>
          <w:sz w:val="22"/>
          <w:szCs w:val="22"/>
        </w:rPr>
        <w:t>There are several columns that get generated that provide good informational value.  However, there are only four columns that matter when performing the “updateAnnotations” and those are as follows:</w:t>
      </w:r>
    </w:p>
    <w:p w14:paraId="69CCF2D5" w14:textId="77777777" w:rsidR="00837EC6" w:rsidRPr="00837EC6" w:rsidRDefault="00837EC6" w:rsidP="00837EC6">
      <w:pPr>
        <w:ind w:left="720"/>
        <w:rPr>
          <w:rFonts w:ascii="Arial" w:hAnsi="Arial" w:cs="Arial"/>
          <w:b/>
          <w:sz w:val="22"/>
          <w:szCs w:val="22"/>
        </w:rPr>
      </w:pPr>
      <w:r w:rsidRPr="00837EC6">
        <w:rPr>
          <w:rFonts w:ascii="Arial" w:hAnsi="Arial" w:cs="Arial"/>
          <w:b/>
          <w:sz w:val="22"/>
          <w:szCs w:val="22"/>
        </w:rPr>
        <w:t>PhysicalName, PhysicalType, ResourcePath, ResourceAnnotation</w:t>
      </w:r>
    </w:p>
    <w:p w14:paraId="768CD56E" w14:textId="77777777" w:rsidR="00837EC6" w:rsidRPr="00837EC6" w:rsidRDefault="00837EC6" w:rsidP="00837EC6">
      <w:pPr>
        <w:ind w:left="360"/>
        <w:rPr>
          <w:rFonts w:ascii="Arial" w:hAnsi="Arial" w:cs="Arial"/>
          <w:b/>
          <w:sz w:val="22"/>
          <w:szCs w:val="22"/>
        </w:rPr>
      </w:pPr>
    </w:p>
    <w:p w14:paraId="13E4C710" w14:textId="77777777" w:rsidR="00837EC6" w:rsidRPr="00837EC6" w:rsidRDefault="00837EC6" w:rsidP="00837EC6">
      <w:pPr>
        <w:ind w:left="360"/>
        <w:rPr>
          <w:rFonts w:ascii="Arial" w:hAnsi="Arial" w:cs="Arial"/>
          <w:sz w:val="22"/>
          <w:szCs w:val="22"/>
        </w:rPr>
      </w:pPr>
      <w:r w:rsidRPr="00837EC6">
        <w:rPr>
          <w:rFonts w:ascii="Arial" w:hAnsi="Arial" w:cs="Arial"/>
          <w:sz w:val="22"/>
          <w:szCs w:val="22"/>
        </w:rPr>
        <w:t>This chart describes the columns in the ResourceAnnotations spreadsheet:</w:t>
      </w:r>
    </w:p>
    <w:p w14:paraId="4AB56C15" w14:textId="77777777" w:rsidR="00837EC6" w:rsidRDefault="00837EC6" w:rsidP="00837EC6">
      <w:pPr>
        <w:ind w:left="360"/>
        <w:rPr>
          <w:rFonts w:ascii="Calibri" w:hAnsi="Calibri" w:cs="Calibri"/>
          <w:color w:val="000000"/>
          <w:sz w:val="22"/>
          <w:szCs w:val="18"/>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761"/>
      </w:tblGrid>
      <w:tr w:rsidR="00837EC6" w:rsidRPr="008D0360" w14:paraId="7A109621" w14:textId="77777777" w:rsidTr="004D0F5F">
        <w:tc>
          <w:tcPr>
            <w:tcW w:w="2268" w:type="dxa"/>
            <w:shd w:val="clear" w:color="auto" w:fill="auto"/>
          </w:tcPr>
          <w:p w14:paraId="2D002F1B"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Column Name</w:t>
            </w:r>
          </w:p>
        </w:tc>
        <w:tc>
          <w:tcPr>
            <w:tcW w:w="6761" w:type="dxa"/>
            <w:shd w:val="clear" w:color="auto" w:fill="auto"/>
          </w:tcPr>
          <w:p w14:paraId="7B1BF19A"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Description</w:t>
            </w:r>
          </w:p>
        </w:tc>
      </w:tr>
      <w:tr w:rsidR="00837EC6" w:rsidRPr="008D0360" w14:paraId="6BE8E367" w14:textId="77777777" w:rsidTr="004D0F5F">
        <w:tc>
          <w:tcPr>
            <w:tcW w:w="2268" w:type="dxa"/>
            <w:shd w:val="clear" w:color="auto" w:fill="auto"/>
          </w:tcPr>
          <w:p w14:paraId="695C737C" w14:textId="77777777" w:rsidR="00837EC6" w:rsidRPr="008D0360" w:rsidRDefault="00837EC6" w:rsidP="004D0F5F">
            <w:pPr>
              <w:rPr>
                <w:rFonts w:ascii="Calibri" w:hAnsi="Calibri" w:cs="Calibri"/>
                <w:color w:val="000000"/>
                <w:sz w:val="22"/>
                <w:szCs w:val="18"/>
              </w:rPr>
            </w:pPr>
            <w:r w:rsidRPr="0048138A">
              <w:rPr>
                <w:rFonts w:ascii="Calibri" w:hAnsi="Calibri" w:cs="Calibri"/>
                <w:color w:val="000000"/>
                <w:sz w:val="22"/>
                <w:szCs w:val="18"/>
              </w:rPr>
              <w:t>DataSourceName</w:t>
            </w:r>
          </w:p>
        </w:tc>
        <w:tc>
          <w:tcPr>
            <w:tcW w:w="6761" w:type="dxa"/>
            <w:shd w:val="clear" w:color="auto" w:fill="auto"/>
          </w:tcPr>
          <w:p w14:paraId="1AC753DC"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The data source name that the ResourcePath maps to if applicable.</w:t>
            </w:r>
          </w:p>
        </w:tc>
      </w:tr>
      <w:tr w:rsidR="00837EC6" w:rsidRPr="008D0360" w14:paraId="74D9057D" w14:textId="77777777" w:rsidTr="004D0F5F">
        <w:tc>
          <w:tcPr>
            <w:tcW w:w="2268" w:type="dxa"/>
            <w:shd w:val="clear" w:color="auto" w:fill="auto"/>
          </w:tcPr>
          <w:p w14:paraId="6068E75E" w14:textId="77777777" w:rsidR="00837EC6" w:rsidRPr="008D0360" w:rsidRDefault="00837EC6" w:rsidP="004D0F5F">
            <w:pPr>
              <w:rPr>
                <w:rFonts w:ascii="Calibri" w:hAnsi="Calibri" w:cs="Calibri"/>
                <w:color w:val="000000"/>
                <w:sz w:val="22"/>
                <w:szCs w:val="18"/>
              </w:rPr>
            </w:pPr>
            <w:r w:rsidRPr="0048138A">
              <w:rPr>
                <w:rFonts w:ascii="Calibri" w:hAnsi="Calibri" w:cs="Calibri"/>
                <w:color w:val="000000"/>
                <w:sz w:val="22"/>
                <w:szCs w:val="18"/>
              </w:rPr>
              <w:t>DataSourceType</w:t>
            </w:r>
          </w:p>
        </w:tc>
        <w:tc>
          <w:tcPr>
            <w:tcW w:w="6761" w:type="dxa"/>
            <w:shd w:val="clear" w:color="auto" w:fill="auto"/>
          </w:tcPr>
          <w:p w14:paraId="3380F237"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The data source type that the ResourcePath maps to if applicable.</w:t>
            </w:r>
          </w:p>
        </w:tc>
      </w:tr>
      <w:tr w:rsidR="00837EC6" w:rsidRPr="008D0360" w14:paraId="218A8E83" w14:textId="77777777" w:rsidTr="004D0F5F">
        <w:tc>
          <w:tcPr>
            <w:tcW w:w="2268" w:type="dxa"/>
            <w:shd w:val="clear" w:color="auto" w:fill="auto"/>
          </w:tcPr>
          <w:p w14:paraId="44B480A0" w14:textId="77777777" w:rsidR="00837EC6" w:rsidRPr="008D0360" w:rsidRDefault="00837EC6" w:rsidP="004D0F5F">
            <w:pPr>
              <w:rPr>
                <w:rFonts w:ascii="Calibri" w:hAnsi="Calibri" w:cs="Calibri"/>
                <w:color w:val="000000"/>
                <w:sz w:val="22"/>
                <w:szCs w:val="18"/>
              </w:rPr>
            </w:pPr>
            <w:r w:rsidRPr="0048138A">
              <w:rPr>
                <w:rFonts w:ascii="Calibri" w:hAnsi="Calibri" w:cs="Calibri"/>
                <w:color w:val="000000"/>
                <w:sz w:val="22"/>
                <w:szCs w:val="18"/>
              </w:rPr>
              <w:t>DataSourceHostname</w:t>
            </w:r>
          </w:p>
        </w:tc>
        <w:tc>
          <w:tcPr>
            <w:tcW w:w="6761" w:type="dxa"/>
            <w:shd w:val="clear" w:color="auto" w:fill="auto"/>
          </w:tcPr>
          <w:p w14:paraId="5BB74979"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The data source hostname that the ResourcePath maps to if applicable.</w:t>
            </w:r>
          </w:p>
        </w:tc>
      </w:tr>
      <w:tr w:rsidR="00837EC6" w:rsidRPr="008D0360" w14:paraId="463274B1" w14:textId="77777777" w:rsidTr="004D0F5F">
        <w:tc>
          <w:tcPr>
            <w:tcW w:w="2268" w:type="dxa"/>
            <w:shd w:val="clear" w:color="auto" w:fill="auto"/>
          </w:tcPr>
          <w:p w14:paraId="5B89EC1D" w14:textId="77777777" w:rsidR="00837EC6" w:rsidRPr="008D0360" w:rsidRDefault="00837EC6" w:rsidP="004D0F5F">
            <w:pPr>
              <w:rPr>
                <w:rFonts w:ascii="Calibri" w:hAnsi="Calibri" w:cs="Calibri"/>
                <w:b/>
                <w:color w:val="000000"/>
                <w:sz w:val="22"/>
                <w:szCs w:val="18"/>
              </w:rPr>
            </w:pPr>
            <w:r w:rsidRPr="0048138A">
              <w:rPr>
                <w:rFonts w:ascii="Calibri" w:hAnsi="Calibri" w:cs="Calibri"/>
                <w:b/>
                <w:color w:val="000000"/>
                <w:sz w:val="22"/>
                <w:szCs w:val="18"/>
              </w:rPr>
              <w:t>PhysicalName</w:t>
            </w:r>
          </w:p>
        </w:tc>
        <w:tc>
          <w:tcPr>
            <w:tcW w:w="6761" w:type="dxa"/>
            <w:shd w:val="clear" w:color="auto" w:fill="auto"/>
          </w:tcPr>
          <w:p w14:paraId="5533FB09" w14:textId="3A92C85E"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name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70D0B86E" w14:textId="77777777" w:rsidTr="004D0F5F">
        <w:tc>
          <w:tcPr>
            <w:tcW w:w="2268" w:type="dxa"/>
            <w:shd w:val="clear" w:color="auto" w:fill="auto"/>
          </w:tcPr>
          <w:p w14:paraId="18B37DC6" w14:textId="77777777" w:rsidR="00837EC6" w:rsidRPr="008D0360" w:rsidRDefault="00837EC6" w:rsidP="004D0F5F">
            <w:pPr>
              <w:rPr>
                <w:rFonts w:ascii="Calibri" w:hAnsi="Calibri" w:cs="Calibri"/>
                <w:b/>
                <w:color w:val="000000"/>
                <w:sz w:val="22"/>
                <w:szCs w:val="18"/>
              </w:rPr>
            </w:pPr>
            <w:r w:rsidRPr="0048138A">
              <w:rPr>
                <w:rFonts w:ascii="Calibri" w:hAnsi="Calibri" w:cs="Calibri"/>
                <w:b/>
                <w:color w:val="000000"/>
                <w:sz w:val="22"/>
                <w:szCs w:val="18"/>
              </w:rPr>
              <w:t>PhysicalType</w:t>
            </w:r>
          </w:p>
        </w:tc>
        <w:tc>
          <w:tcPr>
            <w:tcW w:w="6761" w:type="dxa"/>
            <w:shd w:val="clear" w:color="auto" w:fill="auto"/>
          </w:tcPr>
          <w:p w14:paraId="38ECD5BE" w14:textId="045CED9B"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type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E.g. [TABLE, COLUMN]</w:t>
            </w:r>
          </w:p>
        </w:tc>
      </w:tr>
      <w:tr w:rsidR="00837EC6" w:rsidRPr="008D0360" w14:paraId="7B1E6327" w14:textId="77777777" w:rsidTr="004D0F5F">
        <w:tc>
          <w:tcPr>
            <w:tcW w:w="2268" w:type="dxa"/>
            <w:shd w:val="clear" w:color="auto" w:fill="auto"/>
          </w:tcPr>
          <w:p w14:paraId="12404F12" w14:textId="77777777" w:rsidR="00837EC6" w:rsidRPr="008D0360" w:rsidRDefault="00837EC6" w:rsidP="004D0F5F">
            <w:pPr>
              <w:rPr>
                <w:rFonts w:ascii="Calibri" w:hAnsi="Calibri" w:cs="Calibri"/>
                <w:b/>
                <w:color w:val="000000"/>
                <w:sz w:val="22"/>
                <w:szCs w:val="18"/>
              </w:rPr>
            </w:pPr>
            <w:r w:rsidRPr="0048138A">
              <w:rPr>
                <w:rFonts w:ascii="Calibri" w:hAnsi="Calibri" w:cs="Calibri"/>
                <w:b/>
                <w:color w:val="000000"/>
                <w:sz w:val="22"/>
                <w:szCs w:val="18"/>
              </w:rPr>
              <w:t>ResourcePath</w:t>
            </w:r>
          </w:p>
        </w:tc>
        <w:tc>
          <w:tcPr>
            <w:tcW w:w="6761" w:type="dxa"/>
            <w:shd w:val="clear" w:color="auto" w:fill="auto"/>
          </w:tcPr>
          <w:p w14:paraId="482629CC" w14:textId="27F61773"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full path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Paths are </w:t>
            </w:r>
            <w:r w:rsidRPr="008D0360">
              <w:rPr>
                <w:rFonts w:ascii="Calibri" w:hAnsi="Calibri" w:cs="Calibri"/>
                <w:color w:val="000000"/>
                <w:sz w:val="22"/>
                <w:szCs w:val="18"/>
                <w:u w:val="single"/>
              </w:rPr>
              <w:t>not</w:t>
            </w:r>
            <w:r w:rsidRPr="008D0360">
              <w:rPr>
                <w:rFonts w:ascii="Calibri" w:hAnsi="Calibri" w:cs="Calibri"/>
                <w:color w:val="000000"/>
                <w:sz w:val="22"/>
                <w:szCs w:val="18"/>
              </w:rPr>
              <w:t xml:space="preserve"> double-quoted if they contain spaces or special characters.</w:t>
            </w:r>
          </w:p>
        </w:tc>
      </w:tr>
      <w:tr w:rsidR="00837EC6" w:rsidRPr="008D0360" w14:paraId="2ABEA97E" w14:textId="77777777" w:rsidTr="004D0F5F">
        <w:tc>
          <w:tcPr>
            <w:tcW w:w="2268" w:type="dxa"/>
            <w:shd w:val="clear" w:color="auto" w:fill="auto"/>
          </w:tcPr>
          <w:p w14:paraId="57CECC86" w14:textId="77777777" w:rsidR="00837EC6" w:rsidRPr="008D0360" w:rsidRDefault="00837EC6" w:rsidP="004D0F5F">
            <w:pPr>
              <w:rPr>
                <w:rFonts w:ascii="Calibri" w:hAnsi="Calibri" w:cs="Calibri"/>
                <w:b/>
                <w:color w:val="000000"/>
                <w:sz w:val="22"/>
                <w:szCs w:val="18"/>
              </w:rPr>
            </w:pPr>
            <w:r w:rsidRPr="0048138A">
              <w:rPr>
                <w:rFonts w:ascii="Calibri" w:hAnsi="Calibri" w:cs="Calibri"/>
                <w:b/>
                <w:color w:val="000000"/>
                <w:sz w:val="22"/>
                <w:szCs w:val="18"/>
              </w:rPr>
              <w:t>ResourceAnnotation</w:t>
            </w:r>
          </w:p>
        </w:tc>
        <w:tc>
          <w:tcPr>
            <w:tcW w:w="6761" w:type="dxa"/>
            <w:shd w:val="clear" w:color="auto" w:fill="auto"/>
          </w:tcPr>
          <w:p w14:paraId="3389062D" w14:textId="2440B0A0"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mult-line annotation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61209D07" w14:textId="77777777" w:rsidTr="004D0F5F">
        <w:tc>
          <w:tcPr>
            <w:tcW w:w="2268" w:type="dxa"/>
            <w:shd w:val="clear" w:color="auto" w:fill="auto"/>
          </w:tcPr>
          <w:p w14:paraId="6F7902A3" w14:textId="77777777" w:rsidR="00837EC6" w:rsidRPr="008D0360" w:rsidRDefault="00837EC6" w:rsidP="004D0F5F">
            <w:pPr>
              <w:rPr>
                <w:rFonts w:ascii="Calibri" w:hAnsi="Calibri" w:cs="Calibri"/>
                <w:color w:val="000000"/>
                <w:sz w:val="22"/>
                <w:szCs w:val="18"/>
              </w:rPr>
            </w:pPr>
            <w:r w:rsidRPr="0048138A">
              <w:rPr>
                <w:rFonts w:ascii="Calibri" w:hAnsi="Calibri" w:cs="Calibri"/>
                <w:color w:val="000000"/>
                <w:sz w:val="22"/>
                <w:szCs w:val="18"/>
              </w:rPr>
              <w:t>ColumnDependencies</w:t>
            </w:r>
          </w:p>
        </w:tc>
        <w:tc>
          <w:tcPr>
            <w:tcW w:w="6761" w:type="dxa"/>
            <w:shd w:val="clear" w:color="auto" w:fill="auto"/>
          </w:tcPr>
          <w:p w14:paraId="10672C71"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The column dependency lineage.</w:t>
            </w:r>
          </w:p>
        </w:tc>
      </w:tr>
    </w:tbl>
    <w:p w14:paraId="10CF5679" w14:textId="598ADBF1" w:rsidR="00090AD9" w:rsidRPr="00524EE5" w:rsidRDefault="00090AD9" w:rsidP="00837EC6">
      <w:pPr>
        <w:spacing w:after="120"/>
        <w:rPr>
          <w:rFonts w:ascii="Arial" w:hAnsi="Arial" w:cs="Arial"/>
        </w:rPr>
      </w:pP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143D9042" w:rsidR="00CA57B2" w:rsidRDefault="00395CFB" w:rsidP="00CA57B2">
      <w:pPr>
        <w:pStyle w:val="Heading1Numbered"/>
      </w:pPr>
      <w:bookmarkStart w:id="35" w:name="_Toc501020640"/>
      <w:r>
        <w:lastRenderedPageBreak/>
        <w:t>Manage Annotation Scripts Method Definitions</w:t>
      </w:r>
      <w:bookmarkEnd w:id="35"/>
    </w:p>
    <w:p w14:paraId="119F771F" w14:textId="77777777" w:rsidR="00395CFB" w:rsidRPr="001C0B05" w:rsidRDefault="00395CFB" w:rsidP="00A13329">
      <w:pPr>
        <w:pStyle w:val="Heading2"/>
      </w:pPr>
      <w:bookmarkStart w:id="36" w:name="_Toc362605230"/>
      <w:bookmarkStart w:id="37" w:name="_Toc386358895"/>
      <w:bookmarkStart w:id="38" w:name="_Toc483577588"/>
      <w:bookmarkStart w:id="39" w:name="_Toc501020641"/>
      <w:r w:rsidRPr="001C0B05">
        <w:t>Detailed Definitions</w:t>
      </w:r>
      <w:bookmarkEnd w:id="36"/>
      <w:bookmarkEnd w:id="37"/>
      <w:bookmarkEnd w:id="38"/>
      <w:bookmarkEnd w:id="39"/>
    </w:p>
    <w:p w14:paraId="2DA98A73" w14:textId="77777777" w:rsidR="00395CFB" w:rsidRDefault="00395CFB" w:rsidP="00395CFB">
      <w:pPr>
        <w:pStyle w:val="CS-Bodytext"/>
      </w:pPr>
      <w:r>
        <w:t>Detailed documentation on the inputs and outputs can be found in the header and annotation section of each procedure.</w:t>
      </w:r>
    </w:p>
    <w:p w14:paraId="5C311B5E" w14:textId="77777777" w:rsidR="00395CFB" w:rsidRPr="001C0B05" w:rsidRDefault="00395CFB" w:rsidP="00A13329">
      <w:pPr>
        <w:pStyle w:val="Heading2"/>
      </w:pPr>
      <w:bookmarkStart w:id="40" w:name="_Project_Maintenance:_Generate"/>
      <w:bookmarkStart w:id="41" w:name="_Toc483577589"/>
      <w:bookmarkStart w:id="42" w:name="_Toc501020642"/>
      <w:bookmarkStart w:id="43" w:name="_Toc362605233"/>
      <w:bookmarkStart w:id="44" w:name="_Toc386358898"/>
      <w:bookmarkEnd w:id="40"/>
      <w:r>
        <w:t>Annotation</w:t>
      </w:r>
      <w:r w:rsidRPr="001C0B05">
        <w:t xml:space="preserve"> Maintenance: </w:t>
      </w:r>
      <w:r>
        <w:t>Generate Annotations</w:t>
      </w:r>
      <w:bookmarkEnd w:id="41"/>
      <w:bookmarkEnd w:id="42"/>
    </w:p>
    <w:p w14:paraId="62F3CAD3" w14:textId="73771C40" w:rsidR="00395CFB" w:rsidRPr="00055DB7" w:rsidRDefault="00395CFB" w:rsidP="003A3E89">
      <w:pPr>
        <w:pStyle w:val="CS-Bodytext"/>
        <w:numPr>
          <w:ilvl w:val="0"/>
          <w:numId w:val="25"/>
        </w:numPr>
        <w:spacing w:before="240" w:after="120"/>
        <w:ind w:right="14"/>
        <w:rPr>
          <w:rFonts w:cs="Arial"/>
        </w:rPr>
      </w:pPr>
      <w:bookmarkStart w:id="45" w:name="_Toc483577590"/>
      <w:bookmarkStart w:id="46" w:name="_Toc501020643"/>
      <w:r w:rsidRPr="00055DB7">
        <w:rPr>
          <w:rStyle w:val="Heading3Char"/>
        </w:rPr>
        <w:t>generateResourceListToCSV</w:t>
      </w:r>
      <w:bookmarkEnd w:id="45"/>
      <w:bookmarkEnd w:id="46"/>
      <w:r w:rsidRPr="00055DB7">
        <w:rPr>
          <w:rStyle w:val="Heading3Char"/>
        </w:rPr>
        <w:t xml:space="preserve"> </w:t>
      </w:r>
      <w:r w:rsidRPr="00055DB7">
        <w:rPr>
          <w:rFonts w:cs="Arial"/>
          <w:b/>
        </w:rPr>
        <w:t xml:space="preserve">– </w:t>
      </w:r>
      <w:r w:rsidRPr="00055DB7">
        <w:rPr>
          <w:rFonts w:cs="Arial"/>
        </w:rPr>
        <w:t xml:space="preserve">This procedure is used to generate the table and column annotations to a CSV file on the </w:t>
      </w:r>
      <w:r w:rsidR="00B613AB">
        <w:rPr>
          <w:rFonts w:cs="Arial"/>
        </w:rPr>
        <w:t>DV</w:t>
      </w:r>
      <w:r w:rsidRPr="00055DB7">
        <w:rPr>
          <w:rFonts w:cs="Arial"/>
        </w:rPr>
        <w:t xml:space="preserve"> server.  The user is responsible for downloading the file to their local workstation to work on the annotation list.</w:t>
      </w:r>
    </w:p>
    <w:p w14:paraId="3DB8ED26" w14:textId="77777777" w:rsidR="00395CFB" w:rsidRPr="00055DB7" w:rsidRDefault="00395CFB" w:rsidP="003A3E89">
      <w:pPr>
        <w:pStyle w:val="CS-Bodytext"/>
        <w:numPr>
          <w:ilvl w:val="1"/>
          <w:numId w:val="25"/>
        </w:numPr>
        <w:spacing w:before="240" w:after="120"/>
        <w:ind w:right="14"/>
        <w:rPr>
          <w:rFonts w:cs="Arial"/>
          <w:sz w:val="20"/>
        </w:rPr>
      </w:pPr>
      <w:r>
        <w:rPr>
          <w:rFonts w:cs="Arial"/>
        </w:rPr>
        <w:t xml:space="preserve">Location: </w:t>
      </w:r>
      <w:r w:rsidRPr="00055DB7">
        <w:rPr>
          <w:rFonts w:cs="Arial"/>
          <w:sz w:val="20"/>
        </w:rPr>
        <w:t>/shared/ASAssets/BestPractices_v81/ManageAnnotations/generateResourceListToCSV</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95CFB" w:rsidRPr="000569F6" w14:paraId="355E9C31" w14:textId="77777777" w:rsidTr="004D0F5F">
        <w:trPr>
          <w:tblHeader/>
        </w:trPr>
        <w:tc>
          <w:tcPr>
            <w:tcW w:w="1426" w:type="dxa"/>
            <w:shd w:val="clear" w:color="auto" w:fill="B3B3B3"/>
          </w:tcPr>
          <w:p w14:paraId="7A6EA53D"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297" w:type="dxa"/>
            <w:shd w:val="clear" w:color="auto" w:fill="B3B3B3"/>
          </w:tcPr>
          <w:p w14:paraId="01C61E95"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46" w:type="dxa"/>
            <w:shd w:val="clear" w:color="auto" w:fill="B3B3B3"/>
          </w:tcPr>
          <w:p w14:paraId="288FF2B4"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0569F6" w14:paraId="2720B564" w14:textId="77777777" w:rsidTr="004D0F5F">
        <w:tc>
          <w:tcPr>
            <w:tcW w:w="1426" w:type="dxa"/>
          </w:tcPr>
          <w:p w14:paraId="099AC225"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1116BDB7" w14:textId="77777777" w:rsidR="00395CFB" w:rsidRPr="00395CFB" w:rsidRDefault="00395CFB" w:rsidP="004D0F5F">
            <w:pPr>
              <w:spacing w:after="120"/>
              <w:rPr>
                <w:rFonts w:asciiTheme="majorHAnsi" w:hAnsiTheme="majorHAnsi"/>
                <w:sz w:val="20"/>
              </w:rPr>
            </w:pPr>
            <w:r w:rsidRPr="00395CFB">
              <w:rPr>
                <w:rFonts w:asciiTheme="majorHAnsi" w:hAnsiTheme="majorHAnsi"/>
                <w:b/>
                <w:sz w:val="20"/>
                <w:szCs w:val="22"/>
              </w:rPr>
              <w:t xml:space="preserve">startingPath </w:t>
            </w:r>
            <w:r w:rsidRPr="00395CFB">
              <w:rPr>
                <w:rFonts w:asciiTheme="majorHAnsi" w:hAnsiTheme="majorHAnsi"/>
                <w:sz w:val="20"/>
                <w:szCs w:val="22"/>
              </w:rPr>
              <w:t>– path to folder that is one level below the published data service folder.  Note: the startingPath may be a parent path as the procedure.  This procedure recursively drills into child folder paths to find views.  The reason for one level below the published is because this is where Business Directory gets the column annotations.</w:t>
            </w:r>
          </w:p>
        </w:tc>
        <w:tc>
          <w:tcPr>
            <w:tcW w:w="1946" w:type="dxa"/>
          </w:tcPr>
          <w:p w14:paraId="3078D8C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0569F6" w14:paraId="6891113A" w14:textId="77777777" w:rsidTr="004D0F5F">
        <w:tc>
          <w:tcPr>
            <w:tcW w:w="1426" w:type="dxa"/>
          </w:tcPr>
          <w:p w14:paraId="2CDB7D2B"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7B5DAB2A" w14:textId="47671C7A" w:rsidR="00395CFB" w:rsidRPr="00395CFB" w:rsidRDefault="00395CFB" w:rsidP="00B613AB">
            <w:pPr>
              <w:spacing w:after="160" w:line="259" w:lineRule="auto"/>
              <w:rPr>
                <w:rFonts w:asciiTheme="majorHAnsi" w:hAnsiTheme="majorHAnsi"/>
                <w:sz w:val="20"/>
              </w:rPr>
            </w:pPr>
            <w:r w:rsidRPr="00395CFB">
              <w:rPr>
                <w:rFonts w:asciiTheme="majorHAnsi" w:hAnsiTheme="majorHAnsi"/>
                <w:b/>
                <w:sz w:val="20"/>
              </w:rPr>
              <w:t xml:space="preserve">csvFilePath </w:t>
            </w:r>
            <w:r w:rsidRPr="00395CFB">
              <w:rPr>
                <w:rFonts w:asciiTheme="majorHAnsi" w:hAnsiTheme="majorHAnsi"/>
                <w:sz w:val="20"/>
              </w:rPr>
              <w:t xml:space="preserve">– The output file path on the </w:t>
            </w:r>
            <w:r w:rsidR="00B613AB">
              <w:rPr>
                <w:rFonts w:asciiTheme="majorHAnsi" w:hAnsiTheme="majorHAnsi"/>
                <w:sz w:val="20"/>
              </w:rPr>
              <w:t>DV</w:t>
            </w:r>
            <w:r w:rsidRPr="00395CFB">
              <w:rPr>
                <w:rFonts w:asciiTheme="majorHAnsi" w:hAnsiTheme="majorHAnsi"/>
                <w:sz w:val="20"/>
              </w:rPr>
              <w:t xml:space="preserve"> server.  The user is responsible for downloading the file to their workstation for editing.  </w:t>
            </w:r>
          </w:p>
        </w:tc>
        <w:tc>
          <w:tcPr>
            <w:tcW w:w="1946" w:type="dxa"/>
          </w:tcPr>
          <w:p w14:paraId="537C7493"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bl>
    <w:p w14:paraId="204ED881" w14:textId="77777777" w:rsidR="00395CFB" w:rsidRPr="001C0B05" w:rsidRDefault="00395CFB" w:rsidP="00A13329">
      <w:pPr>
        <w:pStyle w:val="Heading2"/>
      </w:pPr>
      <w:bookmarkStart w:id="47" w:name="_Toc483577591"/>
      <w:bookmarkStart w:id="48" w:name="_Toc501020644"/>
      <w:r>
        <w:t>Annotation</w:t>
      </w:r>
      <w:r w:rsidRPr="001C0B05">
        <w:t xml:space="preserve"> Maintenance: </w:t>
      </w:r>
      <w:bookmarkEnd w:id="43"/>
      <w:bookmarkEnd w:id="44"/>
      <w:r>
        <w:t>Update Annotations</w:t>
      </w:r>
      <w:bookmarkEnd w:id="47"/>
      <w:bookmarkEnd w:id="48"/>
    </w:p>
    <w:p w14:paraId="0BD49F10" w14:textId="26CA7B2F" w:rsidR="00395CFB" w:rsidRDefault="00395CFB" w:rsidP="003A3E89">
      <w:pPr>
        <w:pStyle w:val="CS-Bodytext"/>
        <w:numPr>
          <w:ilvl w:val="0"/>
          <w:numId w:val="25"/>
        </w:numPr>
        <w:spacing w:before="240" w:after="120"/>
        <w:ind w:right="14"/>
        <w:rPr>
          <w:rFonts w:cs="Arial"/>
        </w:rPr>
      </w:pPr>
      <w:bookmarkStart w:id="49" w:name="_Toc483577592"/>
      <w:bookmarkStart w:id="50" w:name="_Toc501020645"/>
      <w:r w:rsidRPr="00055DB7">
        <w:rPr>
          <w:rStyle w:val="Heading3Char"/>
        </w:rPr>
        <w:t>updateAnnotations</w:t>
      </w:r>
      <w:bookmarkEnd w:id="49"/>
      <w:bookmarkEnd w:id="50"/>
      <w:r w:rsidRPr="00055DB7">
        <w:rPr>
          <w:rStyle w:val="Heading3Char"/>
        </w:rPr>
        <w:t xml:space="preserve"> </w:t>
      </w:r>
      <w:r w:rsidRPr="00055DB7">
        <w:rPr>
          <w:rFonts w:cs="Arial"/>
          <w:b/>
        </w:rPr>
        <w:t xml:space="preserve">– </w:t>
      </w:r>
      <w:r w:rsidRPr="00055DB7">
        <w:rPr>
          <w:rFonts w:cs="Arial"/>
        </w:rPr>
        <w:t xml:space="preserve">This script is used to </w:t>
      </w:r>
      <w:r>
        <w:rPr>
          <w:rFonts w:cs="Arial"/>
        </w:rPr>
        <w:t>update resource annotations</w:t>
      </w:r>
      <w:r w:rsidRPr="00055DB7">
        <w:rPr>
          <w:rFonts w:cs="Arial"/>
        </w:rPr>
        <w:t xml:space="preserve">.  </w:t>
      </w:r>
      <w:r>
        <w:rPr>
          <w:rFonts w:cs="Arial"/>
        </w:rPr>
        <w:t xml:space="preserve">The main objective is to update the resources and columns at the level directly below the published datasource layer in </w:t>
      </w:r>
      <w:r w:rsidR="00B613AB">
        <w:rPr>
          <w:rFonts w:cs="Arial"/>
        </w:rPr>
        <w:t>DV</w:t>
      </w:r>
      <w:r>
        <w:rPr>
          <w:rFonts w:cs="Arial"/>
        </w:rPr>
        <w:t>.  This is the layer in which table columns may be updated.  This is the layer in which Business Directory will read in the column metadata.</w:t>
      </w:r>
      <w:r w:rsidRPr="00055DB7">
        <w:rPr>
          <w:rFonts w:cs="Arial"/>
        </w:rPr>
        <w:t xml:space="preserve"> </w:t>
      </w:r>
    </w:p>
    <w:p w14:paraId="76E6E640" w14:textId="77777777" w:rsidR="00395CFB" w:rsidRPr="00BE0694" w:rsidRDefault="00395CFB" w:rsidP="003A3E89">
      <w:pPr>
        <w:pStyle w:val="CS-Bodytext"/>
        <w:numPr>
          <w:ilvl w:val="1"/>
          <w:numId w:val="25"/>
        </w:numPr>
        <w:spacing w:before="240" w:after="120"/>
        <w:ind w:right="14"/>
        <w:rPr>
          <w:rFonts w:cs="Arial"/>
        </w:rPr>
      </w:pPr>
      <w:r w:rsidRPr="00BE0694">
        <w:rPr>
          <w:rFonts w:cs="Arial"/>
        </w:rPr>
        <w:t>RULES:</w:t>
      </w:r>
    </w:p>
    <w:p w14:paraId="131C235B"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is blank with no spaces, it is considered a null indicating take no action.</w:t>
      </w:r>
      <w:r>
        <w:rPr>
          <w:rFonts w:cs="Arial"/>
        </w:rPr>
        <w:t xml:space="preserve">  </w:t>
      </w:r>
      <w:r w:rsidRPr="00BE0694">
        <w:rPr>
          <w:rFonts w:cs="Arial"/>
        </w:rPr>
        <w:t>The update of the annotation for that resource is not performed.</w:t>
      </w:r>
    </w:p>
    <w:p w14:paraId="39852882"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contains 1 or more blanks, it is considered a modification and the update</w:t>
      </w:r>
      <w:r>
        <w:rPr>
          <w:rFonts w:cs="Arial"/>
        </w:rPr>
        <w:t xml:space="preserve"> </w:t>
      </w:r>
      <w:r w:rsidRPr="00BE0694">
        <w:rPr>
          <w:rFonts w:cs="Arial"/>
        </w:rPr>
        <w:t>of the annotation will be performed and will blank out any existing annotation.</w:t>
      </w:r>
    </w:p>
    <w:p w14:paraId="446FE3E2" w14:textId="77777777" w:rsidR="00395CFB" w:rsidRDefault="00395CFB" w:rsidP="003A3E89">
      <w:pPr>
        <w:pStyle w:val="CS-Bodytext"/>
        <w:numPr>
          <w:ilvl w:val="2"/>
          <w:numId w:val="25"/>
        </w:numPr>
        <w:spacing w:before="240" w:after="120"/>
        <w:ind w:right="14"/>
        <w:rPr>
          <w:rFonts w:cs="Arial"/>
        </w:rPr>
      </w:pPr>
      <w:r w:rsidRPr="00BE0694">
        <w:rPr>
          <w:rFonts w:cs="Arial"/>
        </w:rPr>
        <w:lastRenderedPageBreak/>
        <w:t>If the annotation in the spreadsheet contains non-space characters, it is considered a modification and the update</w:t>
      </w:r>
      <w:r>
        <w:rPr>
          <w:rFonts w:cs="Arial"/>
        </w:rPr>
        <w:t xml:space="preserve"> </w:t>
      </w:r>
      <w:r w:rsidRPr="00BE0694">
        <w:rPr>
          <w:rFonts w:cs="Arial"/>
        </w:rPr>
        <w:t>of the annotation will be performed modifying the existing annotation.</w:t>
      </w:r>
    </w:p>
    <w:p w14:paraId="13863B15" w14:textId="198CD19F" w:rsidR="00395CFB" w:rsidRPr="00BE0694" w:rsidRDefault="00395CFB" w:rsidP="003A3E89">
      <w:pPr>
        <w:pStyle w:val="CS-Bodytext"/>
        <w:numPr>
          <w:ilvl w:val="2"/>
          <w:numId w:val="25"/>
        </w:numPr>
        <w:spacing w:before="240" w:after="120"/>
        <w:ind w:right="14"/>
        <w:rPr>
          <w:rFonts w:cs="Arial"/>
        </w:rPr>
      </w:pPr>
      <w:r>
        <w:rPr>
          <w:rFonts w:cs="Arial"/>
        </w:rPr>
        <w:t>If the annotation in the spreadsheet contains multiple lines then all lines will be taken as is and the resource annotation will retain those lines.</w:t>
      </w:r>
    </w:p>
    <w:p w14:paraId="1F955046"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PhysicalType = 'TABLE' then the table annotation will be modified otherwise it is assumed to be a COLUMN</w:t>
      </w:r>
      <w:r>
        <w:rPr>
          <w:rFonts w:cs="Arial"/>
        </w:rPr>
        <w:t xml:space="preserve"> </w:t>
      </w:r>
      <w:r w:rsidRPr="00BE0694">
        <w:rPr>
          <w:rFonts w:cs="Arial"/>
        </w:rPr>
        <w:t>annotation.</w:t>
      </w:r>
    </w:p>
    <w:p w14:paraId="3E355762" w14:textId="77777777" w:rsidR="00395CFB" w:rsidRPr="00B9218B" w:rsidRDefault="00395CFB" w:rsidP="003A3E89">
      <w:pPr>
        <w:pStyle w:val="CS-Bodytext"/>
        <w:numPr>
          <w:ilvl w:val="1"/>
          <w:numId w:val="25"/>
        </w:numPr>
        <w:spacing w:before="240" w:after="120"/>
        <w:ind w:right="14"/>
        <w:rPr>
          <w:rFonts w:cs="Arial"/>
        </w:rPr>
      </w:pPr>
      <w:r>
        <w:t xml:space="preserve">Location: </w:t>
      </w:r>
      <w:r w:rsidRPr="00B9218B">
        <w:t>/shared/ASAssets/BestPractices_v81/ManageAnnotations/updateAnnotations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5310"/>
        <w:gridCol w:w="1901"/>
      </w:tblGrid>
      <w:tr w:rsidR="00395CFB" w:rsidRPr="00395CFB" w14:paraId="6C6806CD" w14:textId="77777777" w:rsidTr="004D0F5F">
        <w:trPr>
          <w:tblHeader/>
        </w:trPr>
        <w:tc>
          <w:tcPr>
            <w:tcW w:w="1458" w:type="dxa"/>
            <w:shd w:val="clear" w:color="auto" w:fill="B3B3B3"/>
          </w:tcPr>
          <w:p w14:paraId="1F662F28"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310" w:type="dxa"/>
            <w:shd w:val="clear" w:color="auto" w:fill="B3B3B3"/>
          </w:tcPr>
          <w:p w14:paraId="2E2BE23B"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01" w:type="dxa"/>
            <w:shd w:val="clear" w:color="auto" w:fill="B3B3B3"/>
          </w:tcPr>
          <w:p w14:paraId="6492BCF6"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395CFB" w14:paraId="0E615556" w14:textId="77777777" w:rsidTr="004D0F5F">
        <w:tc>
          <w:tcPr>
            <w:tcW w:w="1458" w:type="dxa"/>
          </w:tcPr>
          <w:p w14:paraId="6DD9D3B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589C0D63" w14:textId="77777777" w:rsidR="00395CFB" w:rsidRPr="00395CFB" w:rsidRDefault="00395CFB" w:rsidP="004D0F5F">
            <w:pPr>
              <w:spacing w:after="120"/>
              <w:rPr>
                <w:rFonts w:asciiTheme="majorHAnsi" w:hAnsiTheme="majorHAnsi"/>
                <w:sz w:val="20"/>
              </w:rPr>
            </w:pPr>
            <w:r w:rsidRPr="00395CFB">
              <w:rPr>
                <w:rFonts w:asciiTheme="majorHAnsi" w:hAnsiTheme="majorHAnsi"/>
                <w:b/>
                <w:sz w:val="20"/>
                <w:szCs w:val="22"/>
              </w:rPr>
              <w:t xml:space="preserve">performUpdate </w:t>
            </w:r>
            <w:r w:rsidRPr="00395CFB">
              <w:rPr>
                <w:rFonts w:asciiTheme="majorHAnsi" w:hAnsiTheme="majorHAnsi"/>
                <w:sz w:val="20"/>
                <w:szCs w:val="22"/>
              </w:rPr>
              <w:t xml:space="preserve">– 0=do not perform update, 1=perform update </w:t>
            </w:r>
            <w:r w:rsidRPr="00395CFB">
              <w:rPr>
                <w:rFonts w:asciiTheme="majorHAnsi" w:hAnsiTheme="majorHAnsi"/>
                <w:sz w:val="20"/>
              </w:rPr>
              <w:t>environments.  Basically it is used for testing purposes and developing new functionality.</w:t>
            </w:r>
          </w:p>
        </w:tc>
        <w:tc>
          <w:tcPr>
            <w:tcW w:w="1901" w:type="dxa"/>
          </w:tcPr>
          <w:p w14:paraId="75BA7D2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r w:rsidR="00395CFB" w:rsidRPr="00395CFB" w14:paraId="7B30274B" w14:textId="77777777" w:rsidTr="004D0F5F">
        <w:tc>
          <w:tcPr>
            <w:tcW w:w="1458" w:type="dxa"/>
          </w:tcPr>
          <w:p w14:paraId="47136F0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4F972E84" w14:textId="77777777" w:rsidR="00395CFB" w:rsidRPr="00395CFB" w:rsidRDefault="00395CFB" w:rsidP="004D0F5F">
            <w:pPr>
              <w:spacing w:after="120"/>
              <w:rPr>
                <w:rFonts w:asciiTheme="majorHAnsi" w:hAnsiTheme="majorHAnsi"/>
                <w:sz w:val="20"/>
              </w:rPr>
            </w:pPr>
            <w:r w:rsidRPr="00395CFB">
              <w:rPr>
                <w:rFonts w:asciiTheme="majorHAnsi" w:hAnsiTheme="majorHAnsi"/>
                <w:b/>
                <w:sz w:val="20"/>
              </w:rPr>
              <w:t xml:space="preserve">inSqlStatement </w:t>
            </w:r>
            <w:r w:rsidRPr="00395CFB">
              <w:rPr>
                <w:rFonts w:asciiTheme="majorHAnsi" w:hAnsiTheme="majorHAnsi"/>
                <w:sz w:val="20"/>
              </w:rPr>
              <w:t xml:space="preserve">– The table is provided by the user but the </w:t>
            </w:r>
            <w:r w:rsidRPr="00395CFB">
              <w:rPr>
                <w:rFonts w:asciiTheme="majorHAnsi" w:hAnsiTheme="majorHAnsi"/>
                <w:sz w:val="20"/>
                <w:u w:val="single"/>
              </w:rPr>
              <w:t>columns must match exactly</w:t>
            </w:r>
            <w:r w:rsidRPr="00395CFB">
              <w:rPr>
                <w:rFonts w:asciiTheme="majorHAnsi" w:hAnsiTheme="majorHAnsi"/>
                <w:sz w:val="20"/>
              </w:rPr>
              <w:t xml:space="preserve"> as shown.</w:t>
            </w:r>
          </w:p>
          <w:p w14:paraId="75E06906"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This strategy allows the user to store there annotations in their own datasource [excel or database] in order to manage their annotations.  </w:t>
            </w:r>
          </w:p>
          <w:p w14:paraId="3D29FAA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Default Select if inSqlStatement is left null: </w:t>
            </w:r>
          </w:p>
          <w:p w14:paraId="0E827D1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select </w:t>
            </w:r>
            <w:r w:rsidRPr="00395CFB">
              <w:rPr>
                <w:rFonts w:asciiTheme="majorHAnsi" w:hAnsiTheme="majorHAnsi"/>
                <w:b/>
                <w:sz w:val="20"/>
              </w:rPr>
              <w:t>PhysicalName, PhysicalType, ResourcePath, ResourceAnnotation</w:t>
            </w:r>
            <w:r w:rsidRPr="00395CFB">
              <w:rPr>
                <w:rFonts w:asciiTheme="majorHAnsi" w:hAnsiTheme="majorHAnsi"/>
                <w:sz w:val="20"/>
              </w:rPr>
              <w:t xml:space="preserve"> from /shared/ASAssets/BestPractices_v81/ManageAnnotations/Formatting/ResourceAnnotations</w:t>
            </w:r>
          </w:p>
        </w:tc>
        <w:tc>
          <w:tcPr>
            <w:tcW w:w="1901" w:type="dxa"/>
          </w:tcPr>
          <w:p w14:paraId="3F06993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395CFB" w14:paraId="583EC421" w14:textId="77777777" w:rsidTr="004D0F5F">
        <w:tc>
          <w:tcPr>
            <w:tcW w:w="1458" w:type="dxa"/>
          </w:tcPr>
          <w:p w14:paraId="01606C6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OUT</w:t>
            </w:r>
          </w:p>
        </w:tc>
        <w:tc>
          <w:tcPr>
            <w:tcW w:w="5310" w:type="dxa"/>
          </w:tcPr>
          <w:p w14:paraId="6B2C2E98"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rowsProcessed</w:t>
            </w:r>
            <w:r w:rsidRPr="00395CFB">
              <w:rPr>
                <w:rFonts w:asciiTheme="majorHAnsi" w:hAnsiTheme="majorHAnsi"/>
                <w:sz w:val="20"/>
              </w:rPr>
              <w:t xml:space="preserve"> – number of rows processed from the spreadsheet</w:t>
            </w:r>
          </w:p>
        </w:tc>
        <w:tc>
          <w:tcPr>
            <w:tcW w:w="1901" w:type="dxa"/>
          </w:tcPr>
          <w:p w14:paraId="19046260"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bl>
    <w:p w14:paraId="7AF71C39" w14:textId="77777777" w:rsidR="00395CFB" w:rsidRDefault="00395CFB" w:rsidP="00395CFB">
      <w:pPr>
        <w:pStyle w:val="Copyright"/>
      </w:pPr>
      <w:bookmarkStart w:id="51" w:name="_Project_Maintenance:_Generate_1"/>
      <w:bookmarkEnd w:id="51"/>
    </w:p>
    <w:p w14:paraId="6A863D45" w14:textId="634EC335" w:rsidR="00524EE5" w:rsidRPr="00524EE5" w:rsidRDefault="00524EE5" w:rsidP="00395CFB">
      <w:pPr>
        <w:spacing w:after="12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2B26A" w14:textId="77777777" w:rsidR="00CE439F" w:rsidRDefault="00CE439F">
      <w:r>
        <w:separator/>
      </w:r>
    </w:p>
  </w:endnote>
  <w:endnote w:type="continuationSeparator" w:id="0">
    <w:p w14:paraId="31ECD14F" w14:textId="77777777" w:rsidR="00CE439F" w:rsidRDefault="00CE4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13329">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1E5C6E">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1E5C6E">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B1CE8" w14:textId="77777777" w:rsidR="00CE439F" w:rsidRDefault="00CE439F">
      <w:r>
        <w:separator/>
      </w:r>
    </w:p>
  </w:footnote>
  <w:footnote w:type="continuationSeparator" w:id="0">
    <w:p w14:paraId="60097CBD" w14:textId="77777777" w:rsidR="00CE439F" w:rsidRDefault="00CE4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AF183EA"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To </w:t>
    </w:r>
    <w:r w:rsidR="00486D88">
      <w:rPr>
        <w:rFonts w:ascii="Helvetica" w:hAnsi="Helvetica" w:cs="Arial"/>
        <w:sz w:val="18"/>
      </w:rPr>
      <w:t>Use</w:t>
    </w:r>
    <w:r w:rsidR="00105DF0">
      <w:rPr>
        <w:rFonts w:ascii="Helvetica" w:hAnsi="Helvetica" w:cs="Arial"/>
        <w:sz w:val="18"/>
      </w:rPr>
      <w:t xml:space="preserve"> </w:t>
    </w:r>
    <w:r w:rsidR="008319B4">
      <w:rPr>
        <w:rFonts w:ascii="Helvetica" w:hAnsi="Helvetica" w:cs="Arial"/>
        <w:sz w:val="18"/>
      </w:rPr>
      <w:t>Data Abstraction Best Practices</w:t>
    </w:r>
    <w:r w:rsidR="00486D88">
      <w:rPr>
        <w:rFonts w:ascii="Helvetica" w:hAnsi="Helvetica" w:cs="Arial"/>
        <w:sz w:val="18"/>
      </w:rPr>
      <w:t xml:space="preserve"> Manage Annotations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D923BC" w:rsidRDefault="00D923BC">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3"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4"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7"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5"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1"/>
  </w:num>
  <w:num w:numId="4">
    <w:abstractNumId w:val="27"/>
  </w:num>
  <w:num w:numId="5">
    <w:abstractNumId w:val="18"/>
  </w:num>
  <w:num w:numId="6">
    <w:abstractNumId w:val="4"/>
  </w:num>
  <w:num w:numId="7">
    <w:abstractNumId w:val="26"/>
  </w:num>
  <w:num w:numId="8">
    <w:abstractNumId w:val="12"/>
  </w:num>
  <w:num w:numId="9">
    <w:abstractNumId w:val="24"/>
  </w:num>
  <w:num w:numId="10">
    <w:abstractNumId w:val="6"/>
  </w:num>
  <w:num w:numId="11">
    <w:abstractNumId w:val="21"/>
  </w:num>
  <w:num w:numId="12">
    <w:abstractNumId w:val="23"/>
  </w:num>
  <w:num w:numId="13">
    <w:abstractNumId w:val="20"/>
  </w:num>
  <w:num w:numId="14">
    <w:abstractNumId w:val="22"/>
  </w:num>
  <w:num w:numId="15">
    <w:abstractNumId w:val="5"/>
  </w:num>
  <w:num w:numId="16">
    <w:abstractNumId w:val="19"/>
  </w:num>
  <w:num w:numId="17">
    <w:abstractNumId w:val="14"/>
  </w:num>
  <w:num w:numId="18">
    <w:abstractNumId w:val="15"/>
  </w:num>
  <w:num w:numId="19">
    <w:abstractNumId w:val="2"/>
  </w:num>
  <w:num w:numId="20">
    <w:abstractNumId w:val="17"/>
  </w:num>
  <w:num w:numId="21">
    <w:abstractNumId w:val="13"/>
  </w:num>
  <w:num w:numId="22">
    <w:abstractNumId w:val="3"/>
  </w:num>
  <w:num w:numId="23">
    <w:abstractNumId w:val="25"/>
  </w:num>
  <w:num w:numId="24">
    <w:abstractNumId w:val="16"/>
  </w:num>
  <w:num w:numId="25">
    <w:abstractNumId w:val="7"/>
  </w:num>
  <w:num w:numId="26">
    <w:abstractNumId w:val="8"/>
  </w:num>
  <w:num w:numId="2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4E93"/>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05DF0"/>
    <w:rsid w:val="001169A7"/>
    <w:rsid w:val="00122668"/>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13C6"/>
    <w:rsid w:val="002E3FF3"/>
    <w:rsid w:val="002E599D"/>
    <w:rsid w:val="002E7B0C"/>
    <w:rsid w:val="002F344B"/>
    <w:rsid w:val="002F5814"/>
    <w:rsid w:val="00306F6B"/>
    <w:rsid w:val="00312231"/>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2C17"/>
    <w:rsid w:val="0038615D"/>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86D88"/>
    <w:rsid w:val="00495BB8"/>
    <w:rsid w:val="004A4257"/>
    <w:rsid w:val="004C17B9"/>
    <w:rsid w:val="004C6BBB"/>
    <w:rsid w:val="004C73C9"/>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B0F82"/>
    <w:rsid w:val="005C01B8"/>
    <w:rsid w:val="005C5B48"/>
    <w:rsid w:val="005D1E4B"/>
    <w:rsid w:val="005E0866"/>
    <w:rsid w:val="005E4B95"/>
    <w:rsid w:val="005E7C43"/>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03CF1"/>
    <w:rsid w:val="00812B0E"/>
    <w:rsid w:val="00813208"/>
    <w:rsid w:val="008224E2"/>
    <w:rsid w:val="0082348C"/>
    <w:rsid w:val="00824670"/>
    <w:rsid w:val="008319B4"/>
    <w:rsid w:val="00831BD0"/>
    <w:rsid w:val="00833613"/>
    <w:rsid w:val="0083429D"/>
    <w:rsid w:val="00835A60"/>
    <w:rsid w:val="00837EC6"/>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4869"/>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B5AF0"/>
    <w:rsid w:val="009C5839"/>
    <w:rsid w:val="009D3103"/>
    <w:rsid w:val="009E00EC"/>
    <w:rsid w:val="009E2382"/>
    <w:rsid w:val="00A06CF9"/>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3AB"/>
    <w:rsid w:val="00B618A2"/>
    <w:rsid w:val="00B61BA7"/>
    <w:rsid w:val="00B7654D"/>
    <w:rsid w:val="00B832F0"/>
    <w:rsid w:val="00B928D1"/>
    <w:rsid w:val="00B92B7A"/>
    <w:rsid w:val="00B96E0B"/>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D1D5B"/>
    <w:rsid w:val="00CE439F"/>
    <w:rsid w:val="00CF204C"/>
    <w:rsid w:val="00CF3ABB"/>
    <w:rsid w:val="00CF78C5"/>
    <w:rsid w:val="00CF79E5"/>
    <w:rsid w:val="00D01572"/>
    <w:rsid w:val="00D05F8B"/>
    <w:rsid w:val="00D15150"/>
    <w:rsid w:val="00D208BF"/>
    <w:rsid w:val="00D22231"/>
    <w:rsid w:val="00D24BC9"/>
    <w:rsid w:val="00D260BB"/>
    <w:rsid w:val="00D2610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27F28"/>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1A7B0-47AA-0648-908B-D176B52AB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11225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cp:revision>
  <cp:lastPrinted>2017-12-14T18:15:00Z</cp:lastPrinted>
  <dcterms:created xsi:type="dcterms:W3CDTF">2017-12-14T18:15:00Z</dcterms:created>
  <dcterms:modified xsi:type="dcterms:W3CDTF">2019-01-25T23:08:00Z</dcterms:modified>
  <cp:category>TIBCO PSG Document Template</cp:category>
</cp:coreProperties>
</file>