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MS-VICRegL — Synthèse : SNIP + pooling spatial</w:t>
      </w:r>
    </w:p>
    <w:p>
      <w:r>
        <w:rPr>
          <w:b w:val="0"/>
          <w:i/>
        </w:rPr>
        <w:t>Pipeline VICRegL (auto-supervision, CNN1D) pour l'identification bactérienne MALDI-TOF — session du 28 août 2026.</w:t>
      </w:r>
    </w:p>
    <w:p>
      <w:r>
        <w:rPr>
          <w:b w:val="0"/>
          <w:i w:val="0"/>
          <w:color w:val="B42B2B"/>
        </w:rPr>
      </w:r>
      <w:r>
        <w:rPr>
          <w:b/>
          <w:i w:val="0"/>
          <w:color w:val="B42B2B"/>
        </w:rPr>
        <w:t>Document de travail — résultats préliminaires, à valider avant toute présentation externe (voir section Limites).</w:t>
      </w:r>
      <w:r>
        <w:rPr>
          <w:b w:val="0"/>
          <w:i w:val="0"/>
          <w:color w:val="B42B2B"/>
        </w:rPr>
      </w:r>
    </w:p>
    <w:p/>
    <w:p>
      <w:pPr>
        <w:pStyle w:val="Heading1"/>
      </w:pPr>
      <w:r>
        <w:t>Résumé exécutif</w:t>
      </w:r>
    </w:p>
    <w:p>
      <w:r>
        <w:rPr>
          <w:b w:val="0"/>
          <w:i w:val="0"/>
        </w:rPr>
      </w:r>
      <w:r>
        <w:rPr>
          <w:b/>
          <w:i w:val="0"/>
        </w:rPr>
        <w:t>Objectif du projet.</w:t>
      </w:r>
      <w:r>
        <w:rPr>
          <w:b w:val="0"/>
          <w:i w:val="0"/>
        </w:rPr>
        <w:t xml:space="preserve"> Identifier des espèces bactériennes à partir de spectres MALDI-TOF avec un pré-traitement minimal (resample + normalisation TIC), en s'appuyant sur l'auto-supervision (VICRegL) pour apprendre une représentation invariante aux artefacts de centre/instrument — approche volontairement opposée aux pipelines classiques (MSclassifR-style : wavelet, SNIP, ComBat, peak-picking).</w:t>
      </w:r>
    </w:p>
    <w:p>
      <w:r>
        <w:rPr>
          <w:b w:val="0"/>
          <w:i w:val="0"/>
        </w:rPr>
      </w:r>
      <w:r>
        <w:rPr>
          <w:b/>
          <w:i w:val="0"/>
        </w:rPr>
        <w:t>Deux ajouts testés cette session :</w:t>
      </w:r>
      <w:r>
        <w:rPr>
          <w:b w:val="0"/>
          <w:i w:val="0"/>
        </w:rPr>
      </w:r>
    </w:p>
    <w:p>
      <w:pPr>
        <w:pStyle w:val="ListBullet"/>
      </w:pPr>
      <w:r>
        <w:rPr>
          <w:b w:val="0"/>
        </w:rPr>
      </w:r>
      <w:r>
        <w:rPr>
          <w:b/>
        </w:rPr>
        <w:t>SNIP</w:t>
      </w:r>
      <w:r>
        <w:rPr>
          <w:b w:val="0"/>
        </w:rPr>
        <w:t xml:space="preserve"> (soustraction de baseline, sans lissage) — seule étape de pré-traitement ajoutée, opt-in, appliquée avant la normalisation TIC.</w:t>
      </w:r>
    </w:p>
    <w:p>
      <w:pPr>
        <w:pStyle w:val="ListBullet"/>
      </w:pPr>
      <w:r>
        <w:rPr>
          <w:b w:val="0"/>
        </w:rPr>
      </w:r>
      <w:r>
        <w:rPr>
          <w:b/>
        </w:rPr>
        <w:t>Pooling spatial</w:t>
      </w:r>
      <w:r>
        <w:rPr>
          <w:b w:val="0"/>
        </w:rPr>
        <w:t xml:space="preserve"> ("segment pooling") — remplace la moyenne globale de la carte locale du CNN par une concaténation de moyennes par tronçon m/z, préservant de la position dans la représentation gelée utilisée par la sonde linéaire.</w:t>
      </w:r>
    </w:p>
    <w:p>
      <w:r>
        <w:rPr>
          <w:b w:val="0"/>
          <w:i w:val="0"/>
        </w:rPr>
      </w:r>
      <w:r>
        <w:rPr>
          <w:b/>
          <w:i w:val="0"/>
        </w:rPr>
        <w:t>Résultat principal.</w:t>
      </w:r>
      <w:r>
        <w:rPr>
          <w:b w:val="0"/>
          <w:i w:val="0"/>
        </w:rPr>
        <w:t xml:space="preserve"> Sur le test de généralisation le plus strict du projet ((B+C) → centre D, jamais vu à l'entraînement), la combinaison SNIP + pooling améliore la balanced accuracy de </w:t>
      </w:r>
      <w:r>
        <w:rPr>
          <w:b/>
          <w:i w:val="0"/>
        </w:rPr>
        <w:t>0.929 → 0.942–0.936</w:t>
      </w:r>
      <w:r>
        <w:rPr>
          <w:b w:val="0"/>
          <w:i w:val="0"/>
        </w:rPr>
        <w:t>, dépassant la baseline Random Forest (0.932) — un écart qui avait résisté à 5 tentatives antérieures plus coûteuses (DANN, CORAL, prior par espèce, exposition non-labellisée).</w:t>
      </w:r>
    </w:p>
    <w:p>
      <w:r>
        <w:rPr>
          <w:b w:val="0"/>
          <w:i w:val="0"/>
        </w:rPr>
      </w:r>
      <w:r>
        <w:rPr>
          <w:b/>
          <w:i w:val="0"/>
        </w:rPr>
        <w:t>Statut : prometteur, en cours de validation — pas encore un résultat définitif.</w:t>
      </w:r>
      <w:r>
        <w:rPr>
          <w:b w:val="0"/>
          <w:i w:val="0"/>
        </w:rPr>
        <w:t xml:space="preserve"> Une réplication multi-seed a confirmé le gain sur la balanced accuracy mais infirmé sa généralité sur les autres métriques (voir §4). Voir §6 avant toute diffusion externe.</w:t>
      </w:r>
    </w:p>
    <w:p>
      <w:r>
        <w:br w:type="page"/>
      </w:r>
    </w:p>
    <w:p>
      <w:pPr>
        <w:pStyle w:val="Heading1"/>
      </w:pPr>
      <w:r>
        <w:t>1. Modifications apportées</w:t>
      </w:r>
    </w:p>
    <w:p>
      <w:pPr>
        <w:pStyle w:val="Heading2"/>
      </w:pPr>
      <w:r>
        <w:t>1.1 SNIP (soustraction de baseline)</w:t>
      </w:r>
    </w:p>
    <w:p>
      <w:r>
        <w:rPr>
          <w:b w:val="0"/>
          <w:i w:val="0"/>
        </w:rPr>
        <w:t>Algorithme classique (Ryan et al. 1988) : à l'itération m, chaque point est ramené au minimum de lui-même et de la moyenne de ses voisins à ±m bins ; m croît de 1 à `iterations`. Aucun lissage ni transformée LLS — la forme la plus simple de l'algorithme. Appliqué après le binning (3 Da/bin), avant la normalisation TIC.</w:t>
      </w:r>
    </w:p>
    <w:p>
      <w:r>
        <w:rPr>
          <w:b w:val="0"/>
          <w:i w:val="0"/>
        </w:rPr>
      </w:r>
      <w:r>
        <w:rPr>
          <w:b/>
          <w:i w:val="0"/>
        </w:rPr>
        <w:t>Réglage retenu : 150 itérations (fenêtre ±450 Da).</w:t>
      </w:r>
      <w:r>
        <w:rPr>
          <w:b w:val="0"/>
          <w:i w:val="0"/>
        </w:rPr>
        <w:t xml:space="preserve"> Vérifié visuellement sur plusieurs spectres réels (E. coli, S. mitis) : aplatit la dérive lente sans éroder les pics. Comme SNIP est homogène d'ordre 1 (min/moyenne commutent avec un facteur d'échelle), il a été appliqué </w:t>
      </w:r>
      <w:r>
        <w:rPr>
          <w:b/>
          <w:i w:val="0"/>
        </w:rPr>
        <w:t>post-hoc</w:t>
      </w:r>
      <w:r>
        <w:rPr>
          <w:b w:val="0"/>
          <w:i w:val="0"/>
        </w:rPr>
        <w:t xml:space="preserve"> directement sur les `.npy` déjà ingérés — résultat mathématiquement identique à une ré-ingestion complète, sans re-décompresser les tar.gz sources (gain de temps considérable, en particulier pour D, 42 Go).</w:t>
      </w:r>
    </w:p>
    <w:p>
      <w:pPr>
        <w:pStyle w:val="Heading2"/>
      </w:pPr>
      <w:r>
        <w:t>1.2 Pooling spatial ("segment pooling")</w:t>
      </w:r>
    </w:p>
    <w:p>
      <w:r>
        <w:rPr>
          <w:b w:val="0"/>
          <w:i w:val="0"/>
        </w:rPr>
        <w:t>La représentation gelée utilisée par la sonde linéaire downstream était `fmap.mean(dim=2)` — une moyenne sur les 47 positions de la carte locale du CNN, qui efface toute position : deux biomarqueurs distants deviennent indiscernables dans la représentation finale.</w:t>
      </w:r>
    </w:p>
    <w:p>
      <w:r>
        <w:rPr>
          <w:b w:val="0"/>
          <w:i w:val="0"/>
        </w:rPr>
        <w:t>`represent_segments(x, n_segments="max")` découpe la carte locale en tronçons contigus le long de l'axe m/z (bornes identiques pour tous les spectres, donc cohérentes d'un spectre à l'autre), moyenne chacun séparément, puis concatène. `"max"` résout automatiquement à la résolution réelle de la carte (47 pour la config actuelle, déterminé depuis la sortie de l'encodeur, jamais codé en dur).</w:t>
      </w:r>
    </w:p>
    <w:p>
      <w:r>
        <w:rPr>
          <w:b w:val="0"/>
          <w:i w:val="0"/>
        </w:rPr>
        <w:t xml:space="preserve">Testé jusqu'à la résolution maximale (47 segments, aucun pooling) : amélioration monotone sans signe de sur-apprentissage, y compris à 18048 dimensions pour quelques milliers d'échantillons. Ce nouveau pooling est maintenant le </w:t>
      </w:r>
      <w:r>
        <w:rPr>
          <w:b/>
          <w:i w:val="0"/>
        </w:rPr>
        <w:t>défaut</w:t>
      </w:r>
      <w:r>
        <w:rPr>
          <w:b w:val="0"/>
          <w:i w:val="0"/>
        </w:rPr>
        <w:t xml:space="preserve"> de `extract_features` — utilisé automatiquement par tous les scripts d'évaluation liés à l'identification d'espèce. Les benchmarks à petits effectifs (AMR, discrimination fine de sous-espèces), où la résolution maximale fait légèrement régresser la sonde (sur-apprentissage en haute dimension), restent épinglés à l'ancien comportement (`n_segments=1`).</w:t>
      </w:r>
    </w:p>
    <w:p>
      <w:r>
        <w:br w:type="page"/>
      </w:r>
    </w:p>
    <w:p>
      <w:pPr>
        <w:pStyle w:val="Heading1"/>
      </w:pPr>
      <w:r>
        <w:t>2. Résultats — B ↔ C (transfert cross-centre "facile")</w:t>
      </w:r>
    </w:p>
    <w:p>
      <w:r>
        <w:rPr>
          <w:b w:val="0"/>
          <w:i w:val="0"/>
        </w:rPr>
        <w:t>Comparaison officielle (`04_compare.py`, IC95% bootstrap + test de McNemar apparié), 10 espèces communes B∩C, sonde linéaire logistique.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</w:rPr>
              <w:t>Condition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VICRegL (base)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RF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McNemar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VICRegL (SNIP+pooling)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RF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McNemar</w:t>
            </w:r>
          </w:p>
        </w:tc>
      </w:tr>
      <w:tr>
        <w:tc>
          <w:tcPr>
            <w:tcW w:type="dxa" w:w="1234"/>
          </w:tcPr>
          <w:p>
            <w:r>
              <w:t>C-&gt;C</w:t>
            </w:r>
          </w:p>
        </w:tc>
        <w:tc>
          <w:tcPr>
            <w:tcW w:type="dxa" w:w="1234"/>
          </w:tcPr>
          <w:p>
            <w:r>
              <w:t>0.992</w:t>
            </w:r>
          </w:p>
        </w:tc>
        <w:tc>
          <w:tcPr>
            <w:tcW w:type="dxa" w:w="1234"/>
          </w:tcPr>
          <w:p>
            <w:r>
              <w:t>0.997</w:t>
            </w:r>
          </w:p>
        </w:tc>
        <w:tc>
          <w:tcPr>
            <w:tcW w:type="dxa" w:w="1234"/>
          </w:tcPr>
          <w:p>
            <w:r>
              <w:t>*</w:t>
            </w:r>
          </w:p>
        </w:tc>
        <w:tc>
          <w:tcPr>
            <w:tcW w:type="dxa" w:w="1234"/>
          </w:tcPr>
          <w:p>
            <w:r>
              <w:t>0.999</w:t>
            </w:r>
          </w:p>
        </w:tc>
        <w:tc>
          <w:tcPr>
            <w:tcW w:type="dxa" w:w="1234"/>
          </w:tcPr>
          <w:p>
            <w:r>
              <w:t>0.997</w:t>
            </w:r>
          </w:p>
        </w:tc>
        <w:tc>
          <w:tcPr>
            <w:tcW w:type="dxa" w:w="1234"/>
          </w:tcPr>
          <w:p>
            <w:r>
              <w:t>ns</w:t>
            </w:r>
          </w:p>
        </w:tc>
      </w:tr>
      <w:tr>
        <w:tc>
          <w:tcPr>
            <w:tcW w:type="dxa" w:w="1234"/>
          </w:tcPr>
          <w:p>
            <w:r>
              <w:t>B-&gt;B</w:t>
            </w:r>
          </w:p>
        </w:tc>
        <w:tc>
          <w:tcPr>
            <w:tcW w:type="dxa" w:w="1234"/>
          </w:tcPr>
          <w:p>
            <w:r>
              <w:t>0.995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ns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ns</w:t>
            </w:r>
          </w:p>
        </w:tc>
      </w:tr>
      <w:tr>
        <w:tc>
          <w:tcPr>
            <w:tcW w:type="dxa" w:w="1234"/>
          </w:tcPr>
          <w:p>
            <w:r>
              <w:t>C-&gt;B</w:t>
            </w:r>
          </w:p>
        </w:tc>
        <w:tc>
          <w:tcPr>
            <w:tcW w:type="dxa" w:w="1234"/>
          </w:tcPr>
          <w:p>
            <w:r>
              <w:t>0.995</w:t>
            </w:r>
          </w:p>
        </w:tc>
        <w:tc>
          <w:tcPr>
            <w:tcW w:type="dxa" w:w="1234"/>
          </w:tcPr>
          <w:p>
            <w:r>
              <w:t>0.992</w:t>
            </w:r>
          </w:p>
        </w:tc>
        <w:tc>
          <w:tcPr>
            <w:tcW w:type="dxa" w:w="1234"/>
          </w:tcPr>
          <w:p>
            <w:r>
              <w:t>ns</w:t>
            </w:r>
          </w:p>
        </w:tc>
        <w:tc>
          <w:tcPr>
            <w:tcW w:type="dxa" w:w="1234"/>
          </w:tcPr>
          <w:p>
            <w:r>
              <w:t>0.998</w:t>
            </w:r>
          </w:p>
        </w:tc>
        <w:tc>
          <w:tcPr>
            <w:tcW w:type="dxa" w:w="1234"/>
          </w:tcPr>
          <w:p>
            <w:r>
              <w:t>0.992</w:t>
            </w:r>
          </w:p>
        </w:tc>
        <w:tc>
          <w:tcPr>
            <w:tcW w:type="dxa" w:w="1234"/>
          </w:tcPr>
          <w:p>
            <w:r>
              <w:t>ns</w:t>
            </w:r>
          </w:p>
        </w:tc>
      </w:tr>
      <w:tr>
        <w:tc>
          <w:tcPr>
            <w:tcW w:type="dxa" w:w="1234"/>
          </w:tcPr>
          <w:p>
            <w:r>
              <w:t>B-&gt;C</w:t>
            </w:r>
          </w:p>
        </w:tc>
        <w:tc>
          <w:tcPr>
            <w:tcW w:type="dxa" w:w="1234"/>
          </w:tcPr>
          <w:p>
            <w:r>
              <w:t>0.982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***</w:t>
            </w:r>
          </w:p>
        </w:tc>
        <w:tc>
          <w:tcPr>
            <w:tcW w:type="dxa" w:w="1234"/>
          </w:tcPr>
          <w:p>
            <w:r>
              <w:t>0.995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ns</w:t>
            </w:r>
          </w:p>
        </w:tc>
      </w:tr>
    </w:tbl>
    <w:p/>
    <w:p>
      <w:r>
        <w:rPr>
          <w:b w:val="0"/>
          <w:i w:val="0"/>
        </w:rPr>
        <w:t xml:space="preserve">Avec SNIP+pooling (γ=8, seed=1, réplication propre — voir §4), les 4 conditions deviennent statistiquement indiscernables de RF (aucun McNemar significatif). Sans SNIP, RF bat significativement VICRegL sur C→C et B→C. </w:t>
      </w:r>
      <w:r>
        <w:rPr>
          <w:b/>
          <w:i w:val="0"/>
        </w:rPr>
        <w:t>Sur ce benchmark, le gain SNIP+pooling est de rattraper RF, pas de le dépasser.</w:t>
      </w:r>
      <w:r>
        <w:rPr>
          <w:b w:val="0"/>
          <w:i w:val="0"/>
        </w:rPr>
      </w:r>
    </w:p>
    <w:p>
      <w:pPr>
        <w:pStyle w:val="Heading1"/>
      </w:pPr>
      <w:r>
        <w:t>3. Résultats — (B+C) → D (centre jamais vu, le test phare)</w:t>
      </w:r>
    </w:p>
    <w:p>
      <w:r>
        <w:rPr>
          <w:b w:val="0"/>
          <w:i w:val="0"/>
        </w:rPr>
        <w:t xml:space="preserve">Encodeur pré-entraîné sur B∪C </w:t>
      </w:r>
      <w:r>
        <w:rPr>
          <w:b/>
          <w:i w:val="0"/>
        </w:rPr>
        <w:t>uniquement</w:t>
      </w:r>
      <w:r>
        <w:rPr>
          <w:b w:val="0"/>
          <w:i w:val="0"/>
        </w:rPr>
        <w:t xml:space="preserve"> — D n'a jamais été vu, même en non-labellisé. Sonde entraînée sur B∪C poolés, testée sur 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Méthode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Balanced accuracy (B+C)→D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>
              <w:t>Sans rien (référence historique)</w:t>
            </w:r>
          </w:p>
        </w:tc>
        <w:tc>
          <w:tcPr>
            <w:tcW w:type="dxa" w:w="2880"/>
          </w:tcPr>
          <w:p>
            <w:r>
              <w:t>0.886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Exposition non-labellisée à D</w:t>
            </w:r>
          </w:p>
        </w:tc>
        <w:tc>
          <w:tcPr>
            <w:tcW w:type="dxa" w:w="2880"/>
          </w:tcPr>
          <w:p>
            <w:r>
              <w:t>0.915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DANN</w:t>
            </w:r>
          </w:p>
        </w:tc>
        <w:tc>
          <w:tcPr>
            <w:tcW w:type="dxa" w:w="2880"/>
          </w:tcPr>
          <w:p>
            <w:r>
              <w:t>0.904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CORAL</w:t>
            </w:r>
          </w:p>
        </w:tc>
        <w:tc>
          <w:tcPr>
            <w:tcW w:type="dxa" w:w="2880"/>
          </w:tcPr>
          <w:p>
            <w:r>
              <w:t>0.914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Prior par espèce (SpeciesPrior)</w:t>
            </w:r>
          </w:p>
        </w:tc>
        <w:tc>
          <w:tcPr>
            <w:tcW w:type="dxa" w:w="2880"/>
          </w:tcPr>
          <w:p>
            <w:r>
              <w:t>0.909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Pooling spatial seul (γ=8)</w:t>
            </w:r>
          </w:p>
        </w:tc>
        <w:tc>
          <w:tcPr>
            <w:tcW w:type="dxa" w:w="2880"/>
          </w:tcPr>
          <w:p>
            <w:r>
              <w:t>0.929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**SNIP + pooling (γ=8, seed=0)**</w:t>
            </w:r>
          </w:p>
        </w:tc>
        <w:tc>
          <w:tcPr>
            <w:tcW w:type="dxa" w:w="2880"/>
          </w:tcPr>
          <w:p>
            <w:r>
              <w:t>0.942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**SNIP + pooling (γ=8, seed=1 — réplication)**</w:t>
            </w:r>
          </w:p>
        </w:tc>
        <w:tc>
          <w:tcPr>
            <w:tcW w:type="dxa" w:w="2880"/>
          </w:tcPr>
          <w:p>
            <w:r>
              <w:t>0.936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Random Forest (binned_6000, référence)</w:t>
            </w:r>
          </w:p>
        </w:tc>
        <w:tc>
          <w:tcPr>
            <w:tcW w:type="dxa" w:w="2880"/>
          </w:tcPr>
          <w:p>
            <w:r>
              <w:t>0.932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r>
        <w:rPr>
          <w:b w:val="0"/>
          <w:i w:val="0"/>
        </w:rPr>
        <w:t xml:space="preserve">Six méthodes antérieures (coûteuses : ré-entraînement complet B∪C∪D, plusieurs heures chacune) plafonnaient à 0.915. </w:t>
      </w:r>
      <w:r>
        <w:rPr>
          <w:b/>
          <w:i w:val="0"/>
        </w:rPr>
        <w:t>Le pooling spatial seul, sans aucun ré-entraînement, fait déjà mieux (0.929)</w:t>
      </w:r>
      <w:r>
        <w:rPr>
          <w:b w:val="0"/>
          <w:i w:val="0"/>
        </w:rPr>
        <w:t xml:space="preserve"> ; combiné à SNIP, le gain se maintient sur 2 graines d'entraînement indépendantes (0.936–0.942), toujours au-dessus de RF (0.932).</w:t>
      </w:r>
    </w:p>
    <w:p>
      <w:r>
        <w:br w:type="page"/>
      </w:r>
    </w:p>
    <w:p>
      <w:pPr>
        <w:pStyle w:val="Heading1"/>
      </w:pPr>
      <w:r>
        <w:t>4. Réplication multi-seed — ce qui tient, ce qui ne tient pas</w:t>
      </w:r>
    </w:p>
    <w:p>
      <w:r>
        <w:rPr>
          <w:b w:val="0"/>
          <w:i w:val="0"/>
        </w:rPr>
      </w:r>
      <w:r>
        <w:rPr>
          <w:b/>
          <w:i w:val="0"/>
        </w:rPr>
        <w:t>Contexte.</w:t>
      </w:r>
      <w:r>
        <w:rPr>
          <w:b w:val="0"/>
          <w:i w:val="0"/>
        </w:rPr>
        <w:t xml:space="preserve"> Le premier run SNIP+pooling (γ=8, seed=0) montrait un gain propre sur *toutes* les métriques, mais aussi un effondrement inattendu et localisé sur B↔C (Klebsiella pneumoniae confondue à 51% avec Pseudomonas aeruginosa — un genre sans rapport, pas une confusion biologique connue). Une réplication avec seed=1 a permis de distinguer un vrai effet d'un artefact d'entraînement.</w:t>
      </w:r>
    </w:p>
    <w:p>
      <w:r>
        <w:rPr>
          <w:b w:val="0"/>
          <w:i w:val="0"/>
        </w:rPr>
      </w:r>
      <w:r>
        <w:rPr>
          <w:b/>
          <w:i w:val="0"/>
        </w:rPr>
        <w:t>Ce qui se reproduit :</w:t>
      </w:r>
      <w:r>
        <w:rPr>
          <w:b w:val="0"/>
          <w:i w:val="0"/>
        </w:rPr>
        <w:t xml:space="preserve"> le gain de balanced accuracy sur (B+C)→D (0.936–0.942, toujours &gt; RF). Le collapse Klebsiella/Pseudomonas </w:t>
      </w:r>
      <w:r>
        <w:rPr>
          <w:b/>
          <w:i w:val="0"/>
        </w:rPr>
        <w:t>ne se reproduit pas</w:t>
      </w:r>
      <w:r>
        <w:rPr>
          <w:b w:val="0"/>
          <w:i w:val="0"/>
        </w:rPr>
        <w:t xml:space="preserve"> — confirmé comme un accident d'optimisation isolé, pas un effet de SNIP ou du gamma.</w:t>
      </w:r>
    </w:p>
    <w:p>
      <w:r>
        <w:rPr>
          <w:b w:val="0"/>
          <w:i w:val="0"/>
        </w:rPr>
      </w:r>
      <w:r>
        <w:rPr>
          <w:b/>
          <w:i w:val="0"/>
        </w:rPr>
        <w:t>Ce qui ne se reproduit PAS :</w:t>
      </w:r>
      <w:r>
        <w:rPr>
          <w:b w:val="0"/>
          <w:i w:val="0"/>
        </w:rPr>
        <w:t xml:space="preserve"> le "gain sur toutes les métriques".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Métrique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seed=0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seed=1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RF (référence)</w:t>
            </w:r>
          </w:p>
        </w:tc>
      </w:tr>
      <w:tr>
        <w:tc>
          <w:tcPr>
            <w:tcW w:type="dxa" w:w="2160"/>
          </w:tcPr>
          <w:p>
            <w:r>
              <w:t>Balanced accuracy</w:t>
            </w:r>
          </w:p>
        </w:tc>
        <w:tc>
          <w:tcPr>
            <w:tcW w:type="dxa" w:w="2160"/>
          </w:tcPr>
          <w:p>
            <w:r>
              <w:t>0.942</w:t>
            </w:r>
          </w:p>
        </w:tc>
        <w:tc>
          <w:tcPr>
            <w:tcW w:type="dxa" w:w="2160"/>
          </w:tcPr>
          <w:p>
            <w:r>
              <w:t>0.936</w:t>
            </w:r>
          </w:p>
        </w:tc>
        <w:tc>
          <w:tcPr>
            <w:tcW w:type="dxa" w:w="2160"/>
          </w:tcPr>
          <w:p>
            <w:r>
              <w:t>0.932</w:t>
            </w:r>
          </w:p>
        </w:tc>
      </w:tr>
      <w:tr>
        <w:tc>
          <w:tcPr>
            <w:tcW w:type="dxa" w:w="2160"/>
          </w:tcPr>
          <w:p>
            <w:r>
              <w:t>Accuracy brute</w:t>
            </w:r>
          </w:p>
        </w:tc>
        <w:tc>
          <w:tcPr>
            <w:tcW w:type="dxa" w:w="2160"/>
          </w:tcPr>
          <w:p>
            <w:r>
              <w:t>0.923</w:t>
            </w:r>
          </w:p>
        </w:tc>
        <w:tc>
          <w:tcPr>
            <w:tcW w:type="dxa" w:w="2160"/>
          </w:tcPr>
          <w:p>
            <w:r>
              <w:t>0.913</w:t>
            </w:r>
          </w:p>
        </w:tc>
        <w:tc>
          <w:tcPr>
            <w:tcW w:type="dxa" w:w="2160"/>
          </w:tcPr>
          <w:p>
            <w:r>
              <w:t>0.919</w:t>
            </w:r>
          </w:p>
        </w:tc>
      </w:tr>
      <w:tr>
        <w:tc>
          <w:tcPr>
            <w:tcW w:type="dxa" w:w="2160"/>
          </w:tcPr>
          <w:p>
            <w:r>
              <w:t>F1-macro</w:t>
            </w:r>
          </w:p>
        </w:tc>
        <w:tc>
          <w:tcPr>
            <w:tcW w:type="dxa" w:w="2160"/>
          </w:tcPr>
          <w:p>
            <w:r>
              <w:t>0.872</w:t>
            </w:r>
          </w:p>
        </w:tc>
        <w:tc>
          <w:tcPr>
            <w:tcW w:type="dxa" w:w="2160"/>
          </w:tcPr>
          <w:p>
            <w:r>
              <w:t>0.862</w:t>
            </w:r>
          </w:p>
        </w:tc>
        <w:tc>
          <w:tcPr>
            <w:tcW w:type="dxa" w:w="2160"/>
          </w:tcPr>
          <w:p>
            <w:r>
              <w:t>0.897</w:t>
            </w:r>
          </w:p>
        </w:tc>
      </w:tr>
      <w:tr>
        <w:tc>
          <w:tcPr>
            <w:tcW w:type="dxa" w:w="2160"/>
          </w:tcPr>
          <w:p>
            <w:r>
              <w:t>MCC</w:t>
            </w:r>
          </w:p>
        </w:tc>
        <w:tc>
          <w:tcPr>
            <w:tcW w:type="dxa" w:w="2160"/>
          </w:tcPr>
          <w:p>
            <w:r>
              <w:t>0.909</w:t>
            </w:r>
          </w:p>
        </w:tc>
        <w:tc>
          <w:tcPr>
            <w:tcW w:type="dxa" w:w="2160"/>
          </w:tcPr>
          <w:p>
            <w:r>
              <w:t>0.898</w:t>
            </w:r>
          </w:p>
        </w:tc>
        <w:tc>
          <w:tcPr>
            <w:tcW w:type="dxa" w:w="2160"/>
          </w:tcPr>
          <w:p>
            <w:r>
              <w:t>0.904</w:t>
            </w:r>
          </w:p>
        </w:tc>
      </w:tr>
      <w:tr>
        <w:tc>
          <w:tcPr>
            <w:tcW w:type="dxa" w:w="2160"/>
          </w:tcPr>
          <w:p>
            <w:r>
              <w:t>McNemar (bruts) vs RF</w:t>
            </w:r>
          </w:p>
        </w:tc>
        <w:tc>
          <w:tcPr>
            <w:tcW w:type="dxa" w:w="2160"/>
          </w:tcPr>
          <w:p>
            <w:r>
              <w:t>favorable, p=0.0312</w:t>
            </w:r>
          </w:p>
        </w:tc>
        <w:tc>
          <w:tcPr>
            <w:tcW w:type="dxa" w:w="2160"/>
          </w:tcPr>
          <w:p>
            <w:r>
              <w:t>défavorable, p=0.00023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r>
        <w:rPr>
          <w:b w:val="0"/>
          <w:i w:val="0"/>
        </w:rPr>
      </w:r>
      <w:r>
        <w:rPr>
          <w:b/>
          <w:i w:val="0"/>
        </w:rPr>
        <w:t>Conclusion honnête à retenir :</w:t>
      </w:r>
      <w:r>
        <w:rPr>
          <w:b w:val="0"/>
          <w:i w:val="0"/>
        </w:rPr>
        <w:t xml:space="preserve"> SNIP améliore la balanced accuracy de (B+C)→D de façon modeste et reproductible (+0.007 à +0.013). L'affirmation plus forte ("bat RF sur toutes les métriques") n'est </w:t>
      </w:r>
      <w:r>
        <w:rPr>
          <w:b/>
          <w:i w:val="0"/>
        </w:rPr>
        <w:t>pas</w:t>
      </w:r>
      <w:r>
        <w:rPr>
          <w:b w:val="0"/>
          <w:i w:val="0"/>
        </w:rPr>
        <w:t xml:space="preserve"> soutenue une fois la variance inter-graines prise en compte — c'était en partie un tirage favorable sur seed=0. </w:t>
      </w:r>
      <w:r>
        <w:rPr>
          <w:b/>
          <w:i w:val="0"/>
        </w:rPr>
        <w:t>C'est le chiffre à utiliser pour toute présentation externe.</w:t>
      </w:r>
      <w:r>
        <w:rPr>
          <w:b w:val="0"/>
          <w:i w:val="0"/>
        </w:rPr>
      </w:r>
    </w:p>
    <w:p>
      <w:r>
        <w:br w:type="page"/>
      </w:r>
    </w:p>
    <w:p>
      <w:pPr>
        <w:pStyle w:val="Heading1"/>
      </w:pPr>
      <w:r>
        <w:t>5. Visualisation — PCA des représentations gelées</w:t>
      </w:r>
    </w:p>
    <w:p>
      <w:r>
        <w:rPr>
          <w:b w:val="0"/>
          <w:i w:val="0"/>
        </w:rPr>
        <w:t>Projection PCA (features "max resolution", B+C+D, 10 espèces communes), comparant le checkpoint de référence (`pretrain`, sans SNIP) au meilleur checkpoint (`pretrain_snip_gamma8`).</w:t>
      </w:r>
    </w:p>
    <w:p>
      <w:r>
        <w:drawing>
          <wp:inline xmlns:a="http://schemas.openxmlformats.org/drawingml/2006/main" xmlns:pic="http://schemas.openxmlformats.org/drawingml/2006/picture">
            <wp:extent cx="5760720" cy="53175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species_cen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17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1 — PCA 2D, colorée par espèce puis par centre.</w:t>
      </w:r>
    </w:p>
    <w:p>
      <w:r>
        <w:drawing>
          <wp:inline xmlns:a="http://schemas.openxmlformats.org/drawingml/2006/main" xmlns:pic="http://schemas.openxmlformats.org/drawingml/2006/picture">
            <wp:extent cx="5760720" cy="48744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3d_stat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74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2 — PCA 3D (vue statique ; fichier interactif disponible séparément).</w:t>
      </w:r>
    </w:p>
    <w:p>
      <w:r>
        <w:rPr>
          <w:b w:val="0"/>
          <w:i w:val="0"/>
        </w:rPr>
      </w:r>
      <w:r>
        <w:rPr>
          <w:b/>
          <w:i w:val="0"/>
        </w:rPr>
        <w:t>Lecture :</w:t>
      </w:r>
      <w:r>
        <w:rPr>
          <w:b w:val="0"/>
          <w:i w:val="0"/>
        </w:rPr>
        <w:t xml:space="preserve"> les clusters d'espèce se distinguent visuellement (partiellement — 2-3 axes n'expliquent que ~25-27% de la variance d'un espace à plusieurs milliers de dimensions). Le signal de </w:t>
      </w:r>
      <w:r>
        <w:rPr>
          <w:b/>
          <w:i w:val="0"/>
        </w:rPr>
        <w:t>centre</w:t>
      </w:r>
      <w:r>
        <w:rPr>
          <w:b w:val="0"/>
          <w:i w:val="0"/>
        </w:rPr>
        <w:t xml:space="preserve"> reste visible dans les deux checkpoints — la vue par centre du checkpoint SNIP+pooling (bas) montre cependant un mélange visuellement plus marqué entre B, C et D que la référence (haut), cohérent avec (sans le prouver statistiquement) l'amélioration mesurée sur (B+C)→D. Ceci reste à confirmer quantitativement (ex. AUROC de séparabilité de domaine sur ces mêmes features) avant d'en tirer une conclusion ferme.</w:t>
      </w:r>
    </w:p>
    <w:p>
      <w:r>
        <w:br w:type="page"/>
      </w:r>
    </w:p>
    <w:p>
      <w:pPr>
        <w:pStyle w:val="Heading1"/>
      </w:pPr>
      <w:r>
        <w:t>6. Comparaison à la littérature (tâches proches)</w:t>
      </w:r>
    </w:p>
    <w:p>
      <w:r>
        <w:rPr>
          <w:b w:val="0"/>
          <w:i w:val="0"/>
        </w:rPr>
        <w:t>Aucune de ces comparaisons n'est un match parfaitement contrôlé (espèces, sources, métriques de sonde diffèrent) — à lire comme "cohérent avec l'état de l'art", pas "on bat X".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/>
            <w:r>
              <w:rPr>
                <w:b/>
              </w:rPr>
              <w:t>Référence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Tâche</w:t>
            </w:r>
          </w:p>
        </w:tc>
        <w:tc>
          <w:tcPr>
            <w:tcW w:type="dxa" w:w="2592"/>
          </w:tcPr>
          <w:p>
            <w:r/>
            <w:r>
              <w:rPr>
                <w:b/>
              </w:rPr>
              <w:t>Résultat</w:t>
            </w:r>
          </w:p>
        </w:tc>
      </w:tr>
      <w:tr>
        <w:tc>
          <w:tcPr>
            <w:tcW w:type="dxa" w:w="3168"/>
          </w:tcPr>
          <w:p>
            <w:r>
              <w:t>DALMA (García-Navarro et al. 2026)</w:t>
            </w:r>
          </w:p>
        </w:tc>
        <w:tc>
          <w:tcPr>
            <w:tcW w:type="dxa" w:w="3744"/>
          </w:tcPr>
          <w:p>
            <w:r>
              <w:t>6 espèces, 5 sources poolées → DRIAMS-D, VAE fully-connected</w:t>
            </w:r>
          </w:p>
        </w:tc>
        <w:tc>
          <w:tcPr>
            <w:tcW w:type="dxa" w:w="2592"/>
          </w:tcPr>
          <w:p>
            <w:r>
              <w:t>Raw=DALMA=0.911 (BA)</w:t>
            </w:r>
          </w:p>
        </w:tc>
      </w:tr>
      <w:tr>
        <w:tc>
          <w:tcPr>
            <w:tcW w:type="dxa" w:w="3168"/>
          </w:tcPr>
          <w:p>
            <w:r>
              <w:t>MALDI Transformer (2024)</w:t>
            </w:r>
          </w:p>
        </w:tc>
        <w:tc>
          <w:tcPr>
            <w:tcW w:type="dxa" w:w="3744"/>
          </w:tcPr>
          <w:p>
            <w:r>
              <w:t>1088 espèces (LM-UGent), SSL par discrimination de pics</w:t>
            </w:r>
          </w:p>
        </w:tc>
        <w:tc>
          <w:tcPr>
            <w:tcW w:type="dxa" w:w="2592"/>
          </w:tcPr>
          <w:p>
            <w:r>
              <w:t>84% accuracy</w:t>
            </w:r>
          </w:p>
        </w:tc>
      </w:tr>
      <w:tr>
        <w:tc>
          <w:tcPr>
            <w:tcW w:type="dxa" w:w="3168"/>
          </w:tcPr>
          <w:p>
            <w:r>
              <w:t>Mohammad, Godmer, Piarroux et al. (npj Dig. Med. 2026)</w:t>
            </w:r>
          </w:p>
        </w:tc>
        <w:tc>
          <w:tcPr>
            <w:tcW w:type="dxa" w:w="3744"/>
          </w:tcPr>
          <w:p>
            <w:r>
              <w:t>M. abscessus, 3 sous-espèces, 41 souches</w:t>
            </w:r>
          </w:p>
        </w:tc>
        <w:tc>
          <w:tcPr>
            <w:tcW w:type="dxa" w:w="2592"/>
          </w:tcPr>
          <w:p>
            <w:r>
              <w:t>1DCNN 0.78 / RNN-BiGRU 0.95 (BA)</w:t>
            </w:r>
          </w:p>
        </w:tc>
      </w:tr>
      <w:tr>
        <w:tc>
          <w:tcPr>
            <w:tcW w:type="dxa" w:w="3168"/>
          </w:tcPr>
          <w:p>
            <w:r>
              <w:t>Benchmark 1000+ espèces (PMC8649224)</w:t>
            </w:r>
          </w:p>
        </w:tc>
        <w:tc>
          <w:tcPr>
            <w:tcW w:type="dxa" w:w="3744"/>
          </w:tcPr>
          <w:p>
            <w:r>
              <w:t>1D-CNN supervisé, souches nouvelles</w:t>
            </w:r>
          </w:p>
        </w:tc>
        <w:tc>
          <w:tcPr>
            <w:tcW w:type="dxa" w:w="2592"/>
          </w:tcPr>
          <w:p>
            <w:r>
              <w:t>82.0% / 77.6% (&lt; KNN/LSVC)</w:t>
            </w:r>
          </w:p>
        </w:tc>
      </w:tr>
      <w:tr>
        <w:tc>
          <w:tcPr>
            <w:tcW w:type="dxa" w:w="3168"/>
          </w:tcPr>
          <w:p>
            <w:r>
              <w:t>Notre pipeline (VICRegL+SNIP+pooling)</w:t>
            </w:r>
          </w:p>
        </w:tc>
        <w:tc>
          <w:tcPr>
            <w:tcW w:type="dxa" w:w="3744"/>
          </w:tcPr>
          <w:p>
            <w:r>
              <w:t>10 espèces, 2 sources → DRIAMS-D</w:t>
            </w:r>
          </w:p>
        </w:tc>
        <w:tc>
          <w:tcPr>
            <w:tcW w:type="dxa" w:w="2592"/>
          </w:tcPr>
          <w:p>
            <w:r>
              <w:t>0.942–0.936 (BA)</w:t>
            </w:r>
          </w:p>
        </w:tc>
      </w:tr>
    </w:tbl>
    <w:p/>
    <w:p>
      <w:r>
        <w:rPr>
          <w:b w:val="0"/>
          <w:i w:val="0"/>
        </w:rPr>
        <w:t xml:space="preserve">Point notable : dans le propre papier de Mohammad/Godmer/Piarroux, le CNN1D n'est </w:t>
      </w:r>
      <w:r>
        <w:rPr>
          <w:b/>
          <w:i w:val="0"/>
        </w:rPr>
        <w:t>pas</w:t>
      </w:r>
      <w:r>
        <w:rPr>
          <w:b w:val="0"/>
          <w:i w:val="0"/>
        </w:rPr>
        <w:t xml:space="preserve"> l'architecture gagnante pour la classification de sous-espèces (RNN-BiGRU l'emporte, 0.95 vs 0.78) — l'architecture seule n'explique pas nos résultats, la combinaison auto-supervision + pooling spatial y contribue vraisemblablement davantage.</w:t>
      </w:r>
    </w:p>
    <w:p>
      <w:r>
        <w:br w:type="page"/>
      </w:r>
    </w:p>
    <w:p>
      <w:pPr>
        <w:pStyle w:val="Heading1"/>
      </w:pPr>
      <w:r>
        <w:t>7. Limites et prochaines étapes</w:t>
      </w:r>
    </w:p>
    <w:p>
      <w:pPr>
        <w:pStyle w:val="ListBullet"/>
      </w:pPr>
      <w:r>
        <w:rPr>
          <w:b w:val="0"/>
        </w:rPr>
      </w:r>
      <w:r>
        <w:rPr>
          <w:b/>
        </w:rPr>
        <w:t>Multi-seed incomplet</w:t>
      </w:r>
      <w:r>
        <w:rPr>
          <w:b w:val="0"/>
        </w:rPr>
        <w:t xml:space="preserve"> : la condition sans-SNIP n'a qu'une seule graine (0.929) ; une réplication seed=1 de cette référence manque pour exclure totalement un effet de chance.</w:t>
      </w:r>
    </w:p>
    <w:p>
      <w:pPr>
        <w:pStyle w:val="ListBullet"/>
      </w:pPr>
      <w:r>
        <w:rPr>
          <w:b w:val="0"/>
        </w:rPr>
      </w:r>
      <w:r>
        <w:rPr>
          <w:b/>
        </w:rPr>
        <w:t>Labels Biotyper, pas WGS</w:t>
      </w:r>
      <w:r>
        <w:rPr>
          <w:b w:val="0"/>
        </w:rPr>
        <w:t xml:space="preserve"> : DRIAMS est étiqueté par MALDI (Bruker Biotyper), pas par séquençage — limite déjà connue du projet, s'applique à tous les résultats ci-dessus.</w:t>
      </w:r>
    </w:p>
    <w:p>
      <w:pPr>
        <w:pStyle w:val="ListBullet"/>
      </w:pPr>
      <w:r>
        <w:rPr>
          <w:b w:val="0"/>
        </w:rPr>
      </w:r>
      <w:r>
        <w:rPr>
          <w:b/>
        </w:rPr>
        <w:t>RF-binned est un proxy simplifié</w:t>
      </w:r>
      <w:r>
        <w:rPr>
          <w:b w:val="0"/>
        </w:rPr>
        <w:t xml:space="preserve"> de MSclassifR (binning + RF), pas le pipeline complet (wavelet, ComBat, peak-picking, alignement) — une comparaison au package R réel n'a pas été faite.</w:t>
      </w:r>
    </w:p>
    <w:p>
      <w:pPr>
        <w:pStyle w:val="ListBullet"/>
      </w:pPr>
      <w:r>
        <w:rPr>
          <w:b w:val="0"/>
        </w:rPr>
      </w:r>
      <w:r>
        <w:rPr>
          <w:b/>
        </w:rPr>
        <w:t>Comparaisons littérature non contrôlées</w:t>
      </w:r>
      <w:r>
        <w:rPr>
          <w:b w:val="0"/>
        </w:rPr>
        <w:t xml:space="preserve"> : espèces, tailles de jeux et sources d'entraînement diffèrent systématiquement des nôtres.</w:t>
      </w:r>
    </w:p>
    <w:p>
      <w:pPr>
        <w:pStyle w:val="ListBullet"/>
      </w:pPr>
      <w:r>
        <w:rPr>
          <w:b w:val="0"/>
        </w:rPr>
        <w:t>Prochaine étape recommandée avant toute diffusion externe : réplication seed=1 de la référence sans SNIP, et un contrôle à dimension égale (PCA vers 384-d après pooling) pour isoler l'effet de la position de l'effet de la dimensionnalité.</w:t>
      </w:r>
    </w:p>
    <w:p>
      <w:r>
        <w:br w:type="page"/>
      </w:r>
    </w:p>
    <w:p>
      <w:pPr>
        <w:pStyle w:val="Heading1"/>
      </w:pPr>
      <w:r>
        <w:t>Annexe — détails techniques</w:t>
      </w:r>
    </w:p>
    <w:p>
      <w:pPr>
        <w:pStyle w:val="Heading2"/>
      </w:pPr>
      <w:r>
        <w:t>Hyperparamètres (medium_config, 120 époques)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b/>
              </w:rPr>
              <w:t>Bloc</w:t>
            </w:r>
          </w:p>
        </w:tc>
        <w:tc>
          <w:tcPr>
            <w:tcW w:type="dxa" w:w="7632"/>
          </w:tcPr>
          <w:p>
            <w:r/>
            <w:r>
              <w:rPr>
                <w:b/>
              </w:rPr>
              <w:t>Valeurs</w:t>
            </w:r>
          </w:p>
        </w:tc>
      </w:tr>
      <w:tr>
        <w:tc>
          <w:tcPr>
            <w:tcW w:type="dxa" w:w="1728"/>
          </w:tcPr>
          <w:p>
            <w:r>
              <w:t>grid</w:t>
            </w:r>
          </w:p>
        </w:tc>
        <w:tc>
          <w:tcPr>
            <w:tcW w:type="dxa" w:w="7632"/>
          </w:tcPr>
          <w:p>
            <w:r>
              <w:t>mz 2000–20000 Da, 6000 bins (3 Da/bin) ; SNIP 150 itérations (±450 Da), appliqué avant TIC</w:t>
            </w:r>
          </w:p>
        </w:tc>
      </w:tr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7632"/>
          </w:tcPr>
          <w:p>
            <w:r>
              <w:t>channels (48,96,192,384), blocks (2,2,2,2), feature_len 47, repr_dim 384</w:t>
            </w:r>
          </w:p>
        </w:tc>
      </w:tr>
      <w:tr>
        <w:tc>
          <w:tcPr>
            <w:tcW w:type="dxa" w:w="1728"/>
          </w:tcPr>
          <w:p>
            <w:r>
              <w:t>loss</w:t>
            </w:r>
          </w:p>
        </w:tc>
        <w:tc>
          <w:tcPr>
            <w:tcW w:type="dxa" w:w="7632"/>
          </w:tcPr>
          <w:p>
            <w:r>
              <w:t>sim/std/cov = 25/25/1, α=0.75, γ=8 (isolé) ou 20 (défaut actuel)</w:t>
            </w:r>
          </w:p>
        </w:tc>
      </w:tr>
      <w:tr>
        <w:tc>
          <w:tcPr>
            <w:tcW w:type="dxa" w:w="1728"/>
          </w:tcPr>
          <w:p>
            <w:r>
              <w:t>train</w:t>
            </w:r>
          </w:p>
        </w:tc>
        <w:tc>
          <w:tcPr>
            <w:tcW w:type="dxa" w:w="7632"/>
          </w:tcPr>
          <w:p>
            <w:r>
              <w:t>120 ép, batch 256, lr 1e-3 (warmup 10 ép, cosine ×0.01), seed variable</w:t>
            </w:r>
          </w:p>
        </w:tc>
      </w:tr>
    </w:tbl>
    <w:p/>
    <w:p>
      <w:pPr>
        <w:pStyle w:val="Heading2"/>
      </w:pPr>
      <w:r>
        <w:t>Checkpoints produits cette session</w:t>
      </w:r>
    </w:p>
    <w:p>
      <w:pPr>
        <w:pStyle w:val="ListBullet"/>
      </w:pPr>
      <w:r>
        <w:rPr>
          <w:b w:val="0"/>
        </w:rPr>
        <w:t>`pretrain_snip` — SNIP, γ=20 (confondu avec le correctif gamma)</w:t>
      </w:r>
    </w:p>
    <w:p>
      <w:pPr>
        <w:pStyle w:val="ListBullet"/>
      </w:pPr>
      <w:r>
        <w:rPr>
          <w:b w:val="0"/>
        </w:rPr>
        <w:t>`pretrain_snip_gamma8` — SNIP, γ=8 (isolé, seed=0)</w:t>
      </w:r>
    </w:p>
    <w:p>
      <w:pPr>
        <w:pStyle w:val="ListBullet"/>
      </w:pPr>
      <w:r>
        <w:rPr>
          <w:b w:val="0"/>
        </w:rPr>
        <w:t>`pretrain_snip_gamma8_seed1` — SNIP, γ=8, seed=1 (réplication)</w:t>
      </w:r>
    </w:p>
    <w:p>
      <w:pPr>
        <w:pStyle w:val="Heading2"/>
      </w:pPr>
      <w:r>
        <w:t>Fichiers modifiés / ajoutés</w:t>
      </w:r>
    </w:p>
    <w:p>
      <w:pPr>
        <w:pStyle w:val="ListBullet"/>
      </w:pPr>
      <w:r>
        <w:rPr>
          <w:b w:val="0"/>
        </w:rPr>
        <w:t>`ms_vicregl/preprocess.py` (nouveau) — SNIP</w:t>
      </w:r>
    </w:p>
    <w:p>
      <w:pPr>
        <w:pStyle w:val="ListBullet"/>
      </w:pPr>
      <w:r>
        <w:rPr>
          <w:b w:val="0"/>
        </w:rPr>
        <w:t>`ms_vicregl/model.py` — `represent_segments`</w:t>
      </w:r>
    </w:p>
    <w:p>
      <w:pPr>
        <w:pStyle w:val="ListBullet"/>
      </w:pPr>
      <w:r>
        <w:rPr>
          <w:b w:val="0"/>
        </w:rPr>
        <w:t>`ms_vicregl/dataset.py`, `analysis.py`, `evaluate.py`, `amr.py`, `finegrain.py` — plomberie `variant`/`n_segments`</w:t>
      </w:r>
    </w:p>
    <w:p>
      <w:pPr>
        <w:pStyle w:val="ListBullet"/>
      </w:pPr>
      <w:r>
        <w:rPr>
          <w:b w:val="0"/>
        </w:rPr>
        <w:t>`scripts/run_all.py`, `02_pretrain.py`, `04_compare.py`, `08_holdout_D.py` — variables d'environnement `VARIANT`, `GAMMA`, `SEED`</w:t>
      </w:r>
    </w:p>
    <w:p>
      <w:pPr>
        <w:pStyle w:val="ListBullet"/>
      </w:pPr>
      <w:r>
        <w:rPr>
          <w:b w:val="0"/>
        </w:rPr>
        <w:t>`tests/test_preprocess.py` (nouveau), `tests/test_smoke.py` (étendu) — 13/13 tests passent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