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917046b3af6d5897ae1018d40fd7ffe68ba5d3"/>
      <w:r>
        <w:t xml:space="preserve">Postmates Strategy &amp; Operations — Case Methodology &amp; Summary</w:t>
      </w:r>
      <w:bookmarkEnd w:id="20"/>
    </w:p>
    <w:p>
      <w:pPr>
        <w:pStyle w:val="FirstParagraph"/>
      </w:pPr>
      <w:r>
        <w:rPr>
          <w:i/>
        </w:rPr>
        <w:t xml:space="preserve">This document accompanies the case study presentation. It summarizes the analytical approach, defines every metric used in the deck, walks through each model, and documents outlier analysis and validation steps.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Lizhong (Zoe) Wang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2026</w:t>
      </w:r>
    </w:p>
    <w:p>
      <w:pPr>
        <w:pStyle w:val="BodyText"/>
      </w:pPr>
      <w:r>
        <w:rPr>
          <w:b/>
        </w:rPr>
        <w:t xml:space="preserve">Supporting analytical files: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ltv_calculator.html</w:t>
      </w:r>
      <w:r>
        <w:t xml:space="preserve"> </w:t>
      </w:r>
      <w:r>
        <w:t xml:space="preserve">— interactive user-side + merchant-side LTV model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city_dashboard.html</w:t>
      </w:r>
      <w:r>
        <w:t xml:space="preserve"> </w:t>
      </w:r>
      <w:r>
        <w:t xml:space="preserve">— interactive city-level explorer (4-quadrant + DIM tier views, sortable detail table)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postmates_eda.ipynb</w:t>
      </w:r>
      <w:r>
        <w:t xml:space="preserve"> </w:t>
      </w:r>
      <w:r>
        <w:t xml:space="preserve">— full exploratory data analysis (21 sections)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2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2"/>
        </w:numPr>
        <w:pStyle w:val="Compact"/>
      </w:pPr>
      <w:hyperlink w:anchor="X0ac1403c57cda1f64114a5ec73c84292e77302a">
        <w:r>
          <w:rPr>
            <w:rStyle w:val="Hyperlink"/>
          </w:rPr>
          <w:t xml:space="preserve">Data — Source, Scope, Cleaning</w:t>
        </w:r>
      </w:hyperlink>
    </w:p>
    <w:p>
      <w:pPr>
        <w:numPr>
          <w:ilvl w:val="0"/>
          <w:numId w:val="1002"/>
        </w:numPr>
        <w:pStyle w:val="Compact"/>
      </w:pPr>
      <w:hyperlink w:anchor="Xf2dd25eba0feba831871704d0a05bcdac4224d1">
        <w:r>
          <w:rPr>
            <w:rStyle w:val="Hyperlink"/>
          </w:rPr>
          <w:t xml:space="preserve">Concise EDA — Key Findings</w:t>
        </w:r>
      </w:hyperlink>
    </w:p>
    <w:p>
      <w:pPr>
        <w:numPr>
          <w:ilvl w:val="0"/>
          <w:numId w:val="1002"/>
        </w:numPr>
        <w:pStyle w:val="Compact"/>
      </w:pPr>
      <w:hyperlink w:anchor="Xa9aebfef3dea163b7296d5452c85d2a54ade4e1">
        <w:r>
          <w:rPr>
            <w:rStyle w:val="Hyperlink"/>
          </w:rPr>
          <w:t xml:space="preserve">Anchor Metrics — Every Number, Its Derivation</w:t>
        </w:r>
      </w:hyperlink>
    </w:p>
    <w:p>
      <w:pPr>
        <w:numPr>
          <w:ilvl w:val="0"/>
          <w:numId w:val="1002"/>
        </w:numPr>
        <w:pStyle w:val="Compact"/>
      </w:pPr>
      <w:hyperlink w:anchor="X3d9ec278ef3cf1fc04d7b728b4d6cd9187e3fbb">
        <w:r>
          <w:rPr>
            <w:rStyle w:val="Hyperlink"/>
          </w:rPr>
          <w:t xml:space="preserve">Models — Scenario Analysis &amp; LTV</w:t>
        </w:r>
      </w:hyperlink>
    </w:p>
    <w:p>
      <w:pPr>
        <w:numPr>
          <w:ilvl w:val="0"/>
          <w:numId w:val="1002"/>
        </w:numPr>
        <w:pStyle w:val="Compact"/>
      </w:pPr>
      <w:hyperlink w:anchor="Xdf05c183c131b6b9eb708315705c69db45c5564">
        <w:r>
          <w:rPr>
            <w:rStyle w:val="Hyperlink"/>
          </w:rPr>
          <w:t xml:space="preserve">Outliers &amp; Anomalies</w:t>
        </w:r>
      </w:hyperlink>
    </w:p>
    <w:p>
      <w:pPr>
        <w:numPr>
          <w:ilvl w:val="0"/>
          <w:numId w:val="1002"/>
        </w:numPr>
        <w:pStyle w:val="Compact"/>
      </w:pPr>
      <w:hyperlink w:anchor="Xe18afba5a69a96abc9fc40ae677f0b37b31045a">
        <w:r>
          <w:rPr>
            <w:rStyle w:val="Hyperlink"/>
          </w:rPr>
          <w:t xml:space="preserve">Assumptions &amp; Limitations</w:t>
        </w:r>
      </w:hyperlink>
    </w:p>
    <w:p>
      <w:pPr>
        <w:numPr>
          <w:ilvl w:val="0"/>
          <w:numId w:val="1002"/>
        </w:numPr>
        <w:pStyle w:val="Compact"/>
      </w:pPr>
      <w:hyperlink w:anchor="X1a6065166545ecd736f9c18793fe5cd33e5ab8a">
        <w:r>
          <w:rPr>
            <w:rStyle w:val="Hyperlink"/>
          </w:rPr>
          <w:t xml:space="preserve">Validation Steps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Heading3"/>
      </w:pPr>
      <w:bookmarkStart w:id="23" w:name="recommendation"/>
      <w:r>
        <w:t xml:space="preserve">Recommendation</w:t>
      </w:r>
      <w:bookmarkEnd w:id="23"/>
    </w:p>
    <w:p>
      <w:pPr>
        <w:pStyle w:val="FirstParagraph"/>
      </w:pPr>
      <w:r>
        <w:rPr>
          <w:b/>
        </w:rPr>
        <w:t xml:space="preserve">Launch a 3-month retention pilot for Postmates in Los Angeles</w:t>
      </w:r>
      <w:r>
        <w:t xml:space="preserve">, the highest-priority Investigate-tier city, with a +2 percentage point retention lift target and a 20% A/B holdout.</w:t>
      </w:r>
    </w:p>
    <w:p>
      <w:pPr>
        <w:pStyle w:val="Heading3"/>
      </w:pPr>
      <w:bookmarkStart w:id="24" w:name="key-numbers"/>
      <w:r>
        <w:t xml:space="preserve">Key numbers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Base (recommended)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Optimistic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lift</w:t>
            </w:r>
          </w:p>
        </w:tc>
        <w:tc>
          <w:p>
            <w:pPr>
              <w:pStyle w:val="Compact"/>
              <w:jc w:val="left"/>
            </w:pPr>
            <w:r>
              <w:t xml:space="preserve">+1pp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+2pp</w:t>
            </w:r>
          </w:p>
        </w:tc>
        <w:tc>
          <w:p>
            <w:pPr>
              <w:pStyle w:val="Compact"/>
              <w:jc w:val="left"/>
            </w:pPr>
            <w:r>
              <w:t xml:space="preserve">+3pp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 Y1 GB defended</w:t>
            </w:r>
          </w:p>
        </w:tc>
        <w:tc>
          <w:p>
            <w:pPr>
              <w:pStyle w:val="Compact"/>
              <w:jc w:val="left"/>
            </w:pPr>
            <w:r>
              <w:t xml:space="preserve">$568K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$1.21M</w:t>
            </w:r>
          </w:p>
        </w:tc>
        <w:tc>
          <w:p>
            <w:pPr>
              <w:pStyle w:val="Compact"/>
              <w:jc w:val="left"/>
            </w:pPr>
            <w:r>
              <w:t xml:space="preserve">$1.42M (upper bound)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 AEs saved</w:t>
            </w:r>
          </w:p>
        </w:tc>
        <w:tc>
          <w:p>
            <w:pPr>
              <w:pStyle w:val="Compact"/>
              <w:jc w:val="left"/>
            </w:pPr>
            <w:r>
              <w:t xml:space="preserve">~510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~1,234</w:t>
            </w:r>
          </w:p>
        </w:tc>
        <w:tc>
          <w:p>
            <w:pPr>
              <w:pStyle w:val="Compact"/>
              <w:jc w:val="left"/>
            </w:pPr>
            <w:r>
              <w:t xml:space="preserve">~1,427</w:t>
            </w:r>
          </w:p>
        </w:tc>
      </w:tr>
    </w:tbl>
    <w:p>
      <w:pPr>
        <w:pStyle w:val="BodyText"/>
      </w:pPr>
      <w:r>
        <w:rPr>
          <w:b/>
        </w:rPr>
        <w:t xml:space="preserve">Scaling to the 14-city Investigate cluster</w:t>
      </w:r>
      <w:r>
        <w:t xml:space="preserve"> </w:t>
      </w:r>
      <w:r>
        <w:t xml:space="preserve">at the base case: $2.7M Year 1 GB defended, ~2,700 AEs saved, and roughly</w:t>
      </w:r>
      <w:r>
        <w:t xml:space="preserve"> </w:t>
      </w:r>
      <w:r>
        <w:rPr>
          <w:b/>
        </w:rPr>
        <w:t xml:space="preserve">$482K of 3-year compounded LTV</w:t>
      </w:r>
      <w:r>
        <w:t xml:space="preserve"> </w:t>
      </w:r>
      <w:r>
        <w:t xml:space="preserve">when we layer in cross-platform value plus Uber One conversion.</w:t>
      </w:r>
    </w:p>
    <w:p>
      <w:pPr>
        <w:pStyle w:val="Heading3"/>
      </w:pPr>
      <w:bookmarkStart w:id="25" w:name="strategic-thesis"/>
      <w:r>
        <w:t xml:space="preserve">Strategic thesis</w:t>
      </w:r>
      <w:bookmarkEnd w:id="25"/>
    </w:p>
    <w:p>
      <w:pPr>
        <w:pStyle w:val="FirstParagraph"/>
      </w:pPr>
      <w:r>
        <w:t xml:space="preserve">Food delivery is not one national market — it is 44 city-level battles. Postmates and Uber Eats share infrastructure but capture structurally different users, occasions, and merchants. The right strategy is a</w:t>
      </w:r>
      <w:r>
        <w:t xml:space="preserve"> </w:t>
      </w:r>
      <w:r>
        <w:rPr>
          <w:b/>
        </w:rPr>
        <w:t xml:space="preserve">portfolio play (1+1 &gt; 2)</w:t>
      </w:r>
      <w:r>
        <w:t xml:space="preserve">, not a unified one. The DIM playbook (Defend / Investigate / Maintain / Migrate) operationalizes this across 44 cities; LA, with 36% PM share but combined growth below industry, is the priority Investigate city.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ata-source-scope-cleaning"/>
      <w:r>
        <w:t xml:space="preserve">2. Data — Source, Scope, Cleaning</w:t>
      </w:r>
      <w:bookmarkEnd w:id="26"/>
    </w:p>
    <w:p>
      <w:pPr>
        <w:pStyle w:val="Heading3"/>
      </w:pPr>
      <w:bookmarkStart w:id="27" w:name="source"/>
      <w:r>
        <w:t xml:space="preserve">Source</w:t>
      </w:r>
      <w:bookmarkEnd w:id="27"/>
    </w:p>
    <w:p>
      <w:pPr>
        <w:pStyle w:val="FirstParagraph"/>
      </w:pPr>
      <w:r>
        <w:t xml:space="preserve">Case dataset:</w:t>
      </w:r>
      <w:r>
        <w:t xml:space="preserve"> </w:t>
      </w:r>
      <w:r>
        <w:rPr>
          <w:rStyle w:val="VerbatimChar"/>
        </w:rPr>
        <w:t xml:space="preserve">Case Study Data Set - Postmates Strategy &amp; Operations.csv</w:t>
      </w:r>
    </w:p>
    <w:p>
      <w:pPr>
        <w:pStyle w:val="Heading3"/>
      </w:pPr>
      <w:bookmarkStart w:id="28" w:name="scope"/>
      <w:r>
        <w:t xml:space="preserve">Scope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Time period:</w:t>
      </w:r>
      <w:r>
        <w:t xml:space="preserve"> </w:t>
      </w:r>
      <w:r>
        <w:t xml:space="preserve">June 2022 → June 2023 (13 months)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Geography:</w:t>
      </w:r>
      <w:r>
        <w:t xml:space="preserve"> </w:t>
      </w:r>
      <w:r>
        <w:t xml:space="preserve">44 anonymized US metros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Apps:</w:t>
      </w:r>
      <w:r>
        <w:t xml:space="preserve"> </w:t>
      </w:r>
      <w:r>
        <w:t xml:space="preserve">Postmates + Uber Eats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Granularity:</w:t>
      </w:r>
      <w:r>
        <w:t xml:space="preserve"> </w:t>
      </w:r>
      <w:r>
        <w:t xml:space="preserve">city × app × month</w:t>
      </w:r>
    </w:p>
    <w:p>
      <w:pPr>
        <w:pStyle w:val="Heading3"/>
      </w:pPr>
      <w:bookmarkStart w:id="29" w:name="key-transformations"/>
      <w:r>
        <w:t xml:space="preserve">Key transformations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Long-format</w:t>
      </w:r>
      <w:r>
        <w:t xml:space="preserve"> </w:t>
      </w:r>
      <w:r>
        <w:rPr>
          <w:rStyle w:val="VerbatimChar"/>
        </w:rPr>
        <w:t xml:space="preserve">postmates_clean_long.csv</w:t>
      </w:r>
      <w:r>
        <w:t xml:space="preserve"> </w:t>
      </w:r>
      <w:r>
        <w:t xml:space="preserve">(cell-level metric rows)</w:t>
      </w:r>
    </w:p>
    <w:p>
      <w:pPr>
        <w:numPr>
          <w:ilvl w:val="0"/>
          <w:numId w:val="1004"/>
        </w:numPr>
        <w:pStyle w:val="Compact"/>
      </w:pPr>
      <w:r>
        <w:t xml:space="preserve">City aggregate</w:t>
      </w:r>
      <w:r>
        <w:t xml:space="preserve"> </w:t>
      </w:r>
      <w:r>
        <w:rPr>
          <w:rStyle w:val="VerbatimChar"/>
        </w:rPr>
        <w:t xml:space="preserve">city_app_aggregate.csv</w:t>
      </w:r>
      <w:r>
        <w:t xml:space="preserve"> </w:t>
      </w:r>
      <w:r>
        <w:t xml:space="preserve">(12-month rollups per city × app)</w:t>
      </w:r>
    </w:p>
    <w:p>
      <w:pPr>
        <w:numPr>
          <w:ilvl w:val="0"/>
          <w:numId w:val="1004"/>
        </w:numPr>
        <w:pStyle w:val="Compact"/>
      </w:pPr>
      <w:r>
        <w:t xml:space="preserve">YoY view</w:t>
      </w:r>
      <w:r>
        <w:t xml:space="preserve"> </w:t>
      </w:r>
      <w:r>
        <w:rPr>
          <w:rStyle w:val="VerbatimChar"/>
        </w:rPr>
        <w:t xml:space="preserve">city_yoy.csv</w:t>
      </w:r>
      <w:r>
        <w:t xml:space="preserve"> </w:t>
      </w:r>
      <w:r>
        <w:t xml:space="preserve">(Jun-22 vs Jun-23 single-month per city, with derived metrics: GB YoY, PM share, AE YoY, take rate, absorption ratio, tier)</w:t>
      </w:r>
    </w:p>
    <w:p>
      <w:pPr>
        <w:numPr>
          <w:ilvl w:val="0"/>
          <w:numId w:val="1004"/>
        </w:numPr>
        <w:pStyle w:val="Compact"/>
      </w:pPr>
      <w:r>
        <w:t xml:space="preserve">Dashboard JSON</w:t>
      </w:r>
      <w:r>
        <w:t xml:space="preserve"> </w:t>
      </w:r>
      <w:r>
        <w:rPr>
          <w:rStyle w:val="VerbatimChar"/>
        </w:rPr>
        <w:t xml:space="preserve">city_dashboard_data.json</w:t>
      </w:r>
      <w:r>
        <w:t xml:space="preserve"> </w:t>
      </w:r>
      <w:r>
        <w:t xml:space="preserve">(subset used in the interactive HTML dashboard)</w:t>
      </w:r>
    </w:p>
    <w:p>
      <w:pPr>
        <w:pStyle w:val="Heading3"/>
      </w:pPr>
      <w:bookmarkStart w:id="30" w:name="X08e6ae254748e688603e5e307b637ab38620277"/>
      <w:r>
        <w:t xml:space="preserve">Glossary (key terms used in this doc and the deck)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</w:t>
            </w:r>
          </w:p>
        </w:tc>
        <w:tc>
          <w:p>
            <w:pPr>
              <w:pStyle w:val="Compact"/>
              <w:jc w:val="left"/>
            </w:pPr>
            <w:r>
              <w:t xml:space="preserve">Gross Bookings — total order value before fees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NR</w:t>
            </w:r>
          </w:p>
        </w:tc>
        <w:tc>
          <w:p>
            <w:pPr>
              <w:pStyle w:val="Compact"/>
              <w:jc w:val="left"/>
            </w:pPr>
            <w:r>
              <w:t xml:space="preserve">Net Revenue — platform revenue after refunds and incentives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AE</w:t>
            </w:r>
          </w:p>
        </w:tc>
        <w:tc>
          <w:p>
            <w:pPr>
              <w:pStyle w:val="Compact"/>
              <w:jc w:val="left"/>
            </w:pPr>
            <w:r>
              <w:t xml:space="preserve">Active Eater — user who placed ≥1 order in the period (here, monthly)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</w:t>
            </w:r>
          </w:p>
        </w:tc>
        <w:tc>
          <w:p>
            <w:pPr>
              <w:pStyle w:val="Compact"/>
              <w:jc w:val="left"/>
            </w:pPr>
            <w:r>
              <w:t xml:space="preserve">New Eater — first-time eater on the platform in the period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 share</w:t>
            </w:r>
          </w:p>
        </w:tc>
        <w:tc>
          <w:p>
            <w:pPr>
              <w:pStyle w:val="Compact"/>
              <w:jc w:val="left"/>
            </w:pPr>
            <w:r>
              <w:t xml:space="preserve">Postmates GB ÷ (Postmates GB + Uber Eats GB) in a given city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AOV</w:t>
            </w:r>
          </w:p>
        </w:tc>
        <w:tc>
          <w:p>
            <w:pPr>
              <w:pStyle w:val="Compact"/>
              <w:jc w:val="left"/>
            </w:pPr>
            <w:r>
              <w:t xml:space="preserve">Average Order Value = GB ÷ Trips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Take rate</w:t>
            </w:r>
          </w:p>
        </w:tc>
        <w:tc>
          <w:p>
            <w:pPr>
              <w:pStyle w:val="Compact"/>
              <w:jc w:val="left"/>
            </w:pPr>
            <w:r>
              <w:t xml:space="preserve">NR ÷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YoY</w:t>
            </w:r>
          </w:p>
        </w:tc>
        <w:tc>
          <w:p>
            <w:pPr>
              <w:pStyle w:val="Compact"/>
              <w:jc w:val="left"/>
            </w:pPr>
            <w:r>
              <w:t xml:space="preserve">Year-over-Year change, Jun-22 vs Jun-23 single-month (controls for seasonality)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Pool retention</w:t>
            </w:r>
          </w:p>
        </w:tc>
        <w:tc>
          <w:p>
            <w:pPr>
              <w:pStyle w:val="Compact"/>
              <w:jc w:val="left"/>
            </w:pPr>
            <w:r>
              <w:t xml:space="preserve">AE_t ÷ (AE_{t-1} + NE_t) — net metric, not user-level cohort retention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Absorption ratio</w:t>
            </w:r>
          </w:p>
        </w:tc>
        <w:tc>
          <w:p>
            <w:pPr>
              <w:pStyle w:val="Compact"/>
              <w:jc w:val="left"/>
            </w:pPr>
            <w:r>
              <w:t xml:space="preserve">UE GB gain ÷ PM GB loss (where both are positive); indicates how much PM decline is offset by UE growth in the same city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ncise-eda-key-findings"/>
      <w:r>
        <w:t xml:space="preserve">3. Concise EDA — Key Findings</w:t>
      </w:r>
      <w:bookmarkEnd w:id="31"/>
    </w:p>
    <w:p>
      <w:pPr>
        <w:pStyle w:val="FirstParagraph"/>
      </w:pPr>
      <w:r>
        <w:t xml:space="preserve">(Full EDA in</w:t>
      </w:r>
      <w:r>
        <w:t xml:space="preserve"> </w:t>
      </w:r>
      <w:r>
        <w:rPr>
          <w:rStyle w:val="VerbatimChar"/>
        </w:rPr>
        <w:t xml:space="preserve">postmates_eda.ipynb</w:t>
      </w:r>
      <w:r>
        <w:t xml:space="preserve">, sections 1–21. The takeaways below are what materially shapes the recommendation.)</w:t>
      </w:r>
    </w:p>
    <w:p>
      <w:pPr>
        <w:pStyle w:val="Heading3"/>
      </w:pPr>
      <w:bookmarkStart w:id="32" w:name="city-size-concentration-eda-9.1"/>
      <w:r>
        <w:t xml:space="preserve">3.1 City size &amp; concentration (EDA §9.1)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Top 5 cities account for ~50% of Uber’s combined GB; long tail of small cities</w:t>
      </w:r>
    </w:p>
    <w:p>
      <w:pPr>
        <w:numPr>
          <w:ilvl w:val="0"/>
          <w:numId w:val="1005"/>
        </w:numPr>
        <w:pStyle w:val="Compact"/>
      </w:pPr>
      <w:r>
        <w:t xml:space="preserve">N3 (~NYC) and L2 (~LA) are the two largest cities by combined GB ($2.77M, $2.54M in Jun-23 respectively)</w:t>
      </w:r>
    </w:p>
    <w:p>
      <w:pPr>
        <w:numPr>
          <w:ilvl w:val="0"/>
          <w:numId w:val="1005"/>
        </w:numPr>
        <w:pStyle w:val="Compact"/>
      </w:pPr>
      <w:r>
        <w:t xml:space="preserve">17 of 44 cities have PM share below 5% — heavy long tail of low-PM cities</w:t>
      </w:r>
    </w:p>
    <w:p>
      <w:pPr>
        <w:pStyle w:val="Heading3"/>
      </w:pPr>
      <w:bookmarkStart w:id="33" w:name="pm-penetration-distribution-eda-9.2"/>
      <w:r>
        <w:t xml:space="preserve">3.2 PM penetration distribution (EDA §9.2)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Median PM share:</w:t>
      </w:r>
      <w:r>
        <w:t xml:space="preserve"> </w:t>
      </w:r>
      <w:r>
        <w:t xml:space="preserve">~5–6%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Top quartile:</w:t>
      </w:r>
      <w:r>
        <w:t xml:space="preserve"> </w:t>
      </w:r>
      <w:r>
        <w:t xml:space="preserve">PM share &gt; 10%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National GB-weighted PM share:</w:t>
      </w:r>
      <w:r>
        <w:t xml:space="preserve"> </w:t>
      </w:r>
      <w:r>
        <w:t xml:space="preserve">9.5% (case data)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 PM share:</w:t>
      </w:r>
      <w:r>
        <w:t xml:space="preserve"> </w:t>
      </w:r>
      <w:r>
        <w:t xml:space="preserve">35.6% in Jun-23 (down from 43.6% in Jun-22) — far above any other city</w:t>
      </w:r>
    </w:p>
    <w:p>
      <w:pPr>
        <w:pStyle w:val="Heading3"/>
      </w:pPr>
      <w:bookmarkStart w:id="34" w:name="same-city-ue-vs-pm-correlation-eda-9.4"/>
      <w:r>
        <w:t xml:space="preserve">3.3 Same-city UE-vs-PM correlation (EDA §9.4)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AOV, take rate, and engagement metrics are</w:t>
      </w:r>
      <w:r>
        <w:t xml:space="preserve"> </w:t>
      </w:r>
      <w:r>
        <w:rPr>
          <w:b/>
        </w:rPr>
        <w:t xml:space="preserve">moderately correlated</w:t>
      </w:r>
      <w:r>
        <w:t xml:space="preserve"> </w:t>
      </w:r>
      <w:r>
        <w:t xml:space="preserve">within the same city across the two apps</w:t>
      </w:r>
    </w:p>
    <w:p>
      <w:pPr>
        <w:numPr>
          <w:ilvl w:val="0"/>
          <w:numId w:val="1007"/>
        </w:numPr>
        <w:pStyle w:val="Compact"/>
      </w:pPr>
      <w:r>
        <w:t xml:space="preserve">PM AOV consistently exceeds UE AOV in 41 of 44 cities (+12% aggregate premium)</w:t>
      </w:r>
    </w:p>
    <w:p>
      <w:pPr>
        <w:numPr>
          <w:ilvl w:val="0"/>
          <w:numId w:val="1007"/>
        </w:numPr>
        <w:pStyle w:val="Compact"/>
      </w:pPr>
      <w:r>
        <w:t xml:space="preserve">PM SMB% consistently exceeds UE SMB% in nearly every city</w:t>
      </w:r>
    </w:p>
    <w:p>
      <w:pPr>
        <w:pStyle w:val="Heading3"/>
      </w:pPr>
      <w:bookmarkStart w:id="35" w:name="time-stability-of-city-rankings-eda-9.5"/>
      <w:r>
        <w:t xml:space="preserve">3.4 Time stability of city rankings (EDA §9.5)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Top-10 PM cities by GB are highly stable month-over-month</w:t>
      </w:r>
    </w:p>
    <w:p>
      <w:pPr>
        <w:numPr>
          <w:ilvl w:val="0"/>
          <w:numId w:val="1008"/>
        </w:numPr>
        <w:pStyle w:val="Compact"/>
      </w:pPr>
      <w:r>
        <w:t xml:space="preserve">City rankings on</w:t>
      </w:r>
      <w:r>
        <w:t xml:space="preserve"> </w:t>
      </w:r>
      <w:r>
        <w:rPr>
          <w:b/>
        </w:rPr>
        <w:t xml:space="preserve">combined Uber GB</w:t>
      </w:r>
      <w:r>
        <w:t xml:space="preserve"> </w:t>
      </w:r>
      <w:r>
        <w:t xml:space="preserve">are stable</w:t>
      </w:r>
    </w:p>
    <w:p>
      <w:pPr>
        <w:numPr>
          <w:ilvl w:val="0"/>
          <w:numId w:val="1008"/>
        </w:numPr>
        <w:pStyle w:val="Compact"/>
      </w:pPr>
      <w:r>
        <w:t xml:space="preserve">City rankings on</w:t>
      </w:r>
      <w:r>
        <w:t xml:space="preserve"> </w:t>
      </w:r>
      <w:r>
        <w:rPr>
          <w:b/>
        </w:rPr>
        <w:t xml:space="preserve">PM share</w:t>
      </w:r>
      <w:r>
        <w:t xml:space="preserve"> </w:t>
      </w:r>
      <w:r>
        <w:t xml:space="preserve">are also stable — strongholds and weak markets are persistent, not noise</w:t>
      </w:r>
    </w:p>
    <w:p>
      <w:pPr>
        <w:pStyle w:val="Heading3"/>
      </w:pPr>
      <w:bookmarkStart w:id="36" w:name="Xf51d43c50d12c45817251c694337a5deab9fae2"/>
      <w:r>
        <w:t xml:space="preserve">3.5 PM-vs-UE YoY across all metrics (44-city aggregate, Jun-22 → Jun-23)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 YoY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UE YoY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Eaters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−27.8%</w:t>
            </w:r>
          </w:p>
        </w:tc>
        <w:tc>
          <w:p>
            <w:pPr>
              <w:pStyle w:val="Compact"/>
              <w:jc w:val="left"/>
            </w:pPr>
            <w:r>
              <w:t xml:space="preserve">+8.1%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Eaters</w:t>
            </w:r>
          </w:p>
        </w:tc>
        <w:tc>
          <w:p>
            <w:pPr>
              <w:pStyle w:val="Compact"/>
              <w:jc w:val="left"/>
            </w:pPr>
            <w:r>
              <w:t xml:space="preserve">−21.7%</w:t>
            </w:r>
          </w:p>
        </w:tc>
        <w:tc>
          <w:p>
            <w:pPr>
              <w:pStyle w:val="Compact"/>
              <w:jc w:val="left"/>
            </w:pPr>
            <w:r>
              <w:t xml:space="preserve">+2.2%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Revenue</w:t>
            </w:r>
          </w:p>
        </w:tc>
        <w:tc>
          <w:p>
            <w:pPr>
              <w:pStyle w:val="Compact"/>
              <w:jc w:val="left"/>
            </w:pPr>
            <w:r>
              <w:t xml:space="preserve">−16.6%</w:t>
            </w:r>
          </w:p>
        </w:tc>
        <w:tc>
          <w:p>
            <w:pPr>
              <w:pStyle w:val="Compact"/>
              <w:jc w:val="left"/>
            </w:pPr>
            <w:r>
              <w:t xml:space="preserve">+13.4%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Trips</w:t>
            </w:r>
          </w:p>
        </w:tc>
        <w:tc>
          <w:p>
            <w:pPr>
              <w:pStyle w:val="Compact"/>
              <w:jc w:val="left"/>
            </w:pPr>
            <w:r>
              <w:t xml:space="preserve">−14.9%</w:t>
            </w:r>
          </w:p>
        </w:tc>
        <w:tc>
          <w:p>
            <w:pPr>
              <w:pStyle w:val="Compact"/>
              <w:jc w:val="left"/>
            </w:pPr>
            <w:r>
              <w:t xml:space="preserve">+12.6%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Bookings</w:t>
            </w:r>
          </w:p>
        </w:tc>
        <w:tc>
          <w:p>
            <w:pPr>
              <w:pStyle w:val="Compact"/>
              <w:jc w:val="left"/>
            </w:pPr>
            <w:r>
              <w:t xml:space="preserve">−11.0%</w:t>
            </w:r>
          </w:p>
        </w:tc>
        <w:tc>
          <w:p>
            <w:pPr>
              <w:pStyle w:val="Compact"/>
              <w:jc w:val="left"/>
            </w:pPr>
            <w:r>
              <w:t xml:space="preserve">+17.2%</w:t>
            </w:r>
          </w:p>
        </w:tc>
      </w:tr>
    </w:tbl>
    <w:p>
      <w:pPr>
        <w:pStyle w:val="BodyText"/>
      </w:pPr>
      <w:r>
        <w:rPr>
          <w:b/>
        </w:rPr>
        <w:t xml:space="preserve">Read:</w:t>
      </w:r>
      <w:r>
        <w:t xml:space="preserve"> </w:t>
      </w:r>
      <w:r>
        <w:t xml:space="preserve">PM is declining across every dimension while UE is growing. The</w:t>
      </w:r>
      <w:r>
        <w:t xml:space="preserve"> </w:t>
      </w:r>
      <w:r>
        <w:rPr>
          <w:b/>
        </w:rPr>
        <w:t xml:space="preserve">steepest</w:t>
      </w:r>
      <w:r>
        <w:t xml:space="preserve"> </w:t>
      </w:r>
      <w:r>
        <w:t xml:space="preserve">decline is on Active Eaters (−27.8%) — which is why retention of existing AEs is the priority lever.</w:t>
      </w:r>
    </w:p>
    <w:p>
      <w:pPr>
        <w:pStyle w:val="Heading3"/>
      </w:pPr>
      <w:bookmarkStart w:id="37" w:name="X7f3319a25e3251fb2476bc82951a5f9de6564a7"/>
      <w:r>
        <w:t xml:space="preserve">3.6 Spend gap (PM vs UE, 13-month total, 44-city aggregate)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Existing-eater incentive (% of GB)</w:t>
            </w:r>
          </w:p>
        </w:tc>
        <w:tc>
          <w:p>
            <w:pPr>
              <w:pStyle w:val="Compact"/>
              <w:jc w:val="left"/>
            </w:pPr>
            <w:r>
              <w:t xml:space="preserve">3.92%</w:t>
            </w:r>
          </w:p>
        </w:tc>
        <w:tc>
          <w:p>
            <w:pPr>
              <w:pStyle w:val="Compact"/>
              <w:jc w:val="left"/>
            </w:pPr>
            <w:r>
              <w:t xml:space="preserve">2.82%</w:t>
            </w:r>
          </w:p>
        </w:tc>
        <w:tc>
          <w:p>
            <w:pPr>
              <w:pStyle w:val="Compact"/>
              <w:jc w:val="left"/>
            </w:pPr>
            <w:r>
              <w:t xml:space="preserve">PM +39% per dollar of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Existing-eater incentive ($ per AE-month)</w:t>
            </w:r>
          </w:p>
        </w:tc>
        <w:tc>
          <w:p>
            <w:pPr>
              <w:pStyle w:val="Compact"/>
              <w:jc w:val="left"/>
            </w:pPr>
            <w:r>
              <w:t xml:space="preserve">$5.67</w:t>
            </w:r>
          </w:p>
        </w:tc>
        <w:tc>
          <w:p>
            <w:pPr>
              <w:pStyle w:val="Compact"/>
              <w:jc w:val="left"/>
            </w:pPr>
            <w:r>
              <w:t xml:space="preserve">$3.83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PM +48% per user</w:t>
            </w:r>
          </w:p>
        </w:tc>
      </w:tr>
    </w:tbl>
    <w:p>
      <w:pPr>
        <w:pStyle w:val="BodyText"/>
      </w:pPr>
      <w:r>
        <w:rPr>
          <w:b/>
        </w:rPr>
        <w:t xml:space="preserve">Read:</w:t>
      </w:r>
      <w:r>
        <w:t xml:space="preserve"> </w:t>
      </w:r>
      <w:r>
        <w:t xml:space="preserve">PM spends 48% more per active user per month than UE — yet PM users churn faster.</w:t>
      </w:r>
      <w:r>
        <w:t xml:space="preserve"> </w:t>
      </w:r>
      <w:r>
        <w:rPr>
          <w:b/>
        </w:rPr>
        <w:t xml:space="preserve">We’re spending more, just not on the right people.</w:t>
      </w:r>
      <w:r>
        <w:t xml:space="preserve"> </w:t>
      </w:r>
      <w:r>
        <w:t xml:space="preserve">This is the segmentation hypothesis behind the retention engine.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d7c1986f0da9a0b8339030804005c89eab4d1b4"/>
      <w:r>
        <w:t xml:space="preserve">4. Anchor Metrics — Every Number, Its Derivation</w:t>
      </w:r>
      <w:bookmarkEnd w:id="38"/>
    </w:p>
    <w:p>
      <w:pPr>
        <w:pStyle w:val="Heading3"/>
      </w:pPr>
      <w:bookmarkStart w:id="39" w:name="market-context"/>
      <w:r>
        <w:t xml:space="preserve">4.1 Market context</w:t>
      </w:r>
      <w:bookmarkEnd w:id="39"/>
    </w:p>
    <w:p>
      <w:pPr>
        <w:pStyle w:val="Heading4"/>
      </w:pPr>
      <w:bookmarkStart w:id="40" w:name="b-us-food-delivery-market-2023-gov"/>
      <w:r>
        <w:t xml:space="preserve">$80B — US food delivery market 2023 (GOV)</w:t>
      </w:r>
      <w:bookmarkEnd w:id="40"/>
    </w:p>
    <w:p>
      <w:pPr>
        <w:numPr>
          <w:ilvl w:val="0"/>
          <w:numId w:val="1009"/>
        </w:numPr>
        <w:pStyle w:val="Compact"/>
      </w:pPr>
      <w:r>
        <w:t xml:space="preserve">DoorDash 2023 global GOV: $66.8B (Q4’23 earnings)</w:t>
      </w:r>
    </w:p>
    <w:p>
      <w:pPr>
        <w:numPr>
          <w:ilvl w:val="0"/>
          <w:numId w:val="1009"/>
        </w:numPr>
        <w:pStyle w:val="Compact"/>
      </w:pPr>
      <w:r>
        <w:t xml:space="preserve">US share ≈ 85% × $66.8B ≈ $55–57B</w:t>
      </w:r>
    </w:p>
    <w:p>
      <w:pPr>
        <w:numPr>
          <w:ilvl w:val="0"/>
          <w:numId w:val="1009"/>
        </w:numPr>
        <w:pStyle w:val="Compact"/>
      </w:pPr>
      <w:r>
        <w:t xml:space="preserve">Uber Eats US 2023 ≈ $20–25B</w:t>
      </w:r>
    </w:p>
    <w:p>
      <w:pPr>
        <w:numPr>
          <w:ilvl w:val="0"/>
          <w:numId w:val="1009"/>
        </w:numPr>
        <w:pStyle w:val="Compact"/>
      </w:pPr>
      <w:r>
        <w:t xml:space="preserve">Grubhub 2023 ≈ $5–7B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Total US ≈ $80–90B GOV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Source citation:</w:t>
      </w:r>
      <w:r>
        <w:t xml:space="preserve"> </w:t>
      </w:r>
      <w:r>
        <w:t xml:space="preserve">Statista / Earnest Analytics / Bloomberg Second Measure, 2023</w:t>
      </w:r>
    </w:p>
    <w:p>
      <w:pPr>
        <w:pStyle w:val="Heading4"/>
      </w:pPr>
      <w:bookmarkStart w:id="41" w:name="us-national-share-2023"/>
      <w:r>
        <w:t xml:space="preserve">65% / 24% / 11% — US national share 2023</w:t>
      </w:r>
      <w:bookmarkEnd w:id="41"/>
    </w:p>
    <w:p>
      <w:pPr>
        <w:numPr>
          <w:ilvl w:val="0"/>
          <w:numId w:val="1010"/>
        </w:numPr>
        <w:pStyle w:val="Compact"/>
      </w:pPr>
      <w:r>
        <w:t xml:space="preserve">DoorDash 65%, Uber (Eats + PM combined) 24%, Grubhub + others 11%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Bloomberg Second Measure / Statista 2023</w:t>
      </w:r>
    </w:p>
    <w:p>
      <w:pPr>
        <w:numPr>
          <w:ilvl w:val="0"/>
          <w:numId w:val="1010"/>
        </w:numPr>
        <w:pStyle w:val="Compact"/>
      </w:pPr>
      <w:r>
        <w:t xml:space="preserve">Within Uber’s 24%: PM contributes ~9.5% of Uber’s portfolio (GB-weighted)</w:t>
      </w:r>
    </w:p>
    <w:p>
      <w:pPr>
        <w:pStyle w:val="Heading4"/>
      </w:pPr>
      <w:bookmarkStart w:id="42" w:name="industry-baseline-yoy"/>
      <w:r>
        <w:t xml:space="preserve">11% — Industry baseline YoY</w:t>
      </w:r>
      <w:bookmarkEnd w:id="42"/>
    </w:p>
    <w:p>
      <w:pPr>
        <w:numPr>
          <w:ilvl w:val="0"/>
          <w:numId w:val="1011"/>
        </w:numPr>
        <w:pStyle w:val="Compact"/>
      </w:pPr>
      <w:r>
        <w:t xml:space="preserve">US food delivery industry-wide GB YoY 2022→2023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Bloomberg Second Measure 2022–23</w:t>
      </w:r>
    </w:p>
    <w:p>
      <w:pPr>
        <w:numPr>
          <w:ilvl w:val="0"/>
          <w:numId w:val="1011"/>
        </w:numPr>
        <w:pStyle w:val="Compact"/>
      </w:pPr>
      <w:r>
        <w:t xml:space="preserve">Used as the</w:t>
      </w:r>
      <w:r>
        <w:t xml:space="preserve"> </w:t>
      </w:r>
      <w:r>
        <w:t xml:space="preserve">“</w:t>
      </w:r>
      <w:r>
        <w:t xml:space="preserve">healthy vs underperforming</w:t>
      </w:r>
      <w:r>
        <w:t xml:space="preserve">”</w:t>
      </w:r>
      <w:r>
        <w:t xml:space="preserve"> </w:t>
      </w:r>
      <w:r>
        <w:t xml:space="preserve">threshold throughout the deck (both quadrant view and DIM tier rules)</w:t>
      </w:r>
    </w:p>
    <w:p>
      <w:pPr>
        <w:pStyle w:val="Heading3"/>
      </w:pPr>
      <w:bookmarkStart w:id="43" w:name="city-framework-metrics"/>
      <w:r>
        <w:t xml:space="preserve">4.2 City framework metrics</w:t>
      </w:r>
      <w:bookmarkEnd w:id="43"/>
    </w:p>
    <w:p>
      <w:pPr>
        <w:pStyle w:val="Heading4"/>
      </w:pPr>
      <w:bookmarkStart w:id="44" w:name="quadrant-counts-4-quadrant-city-health"/>
      <w:r>
        <w:t xml:space="preserve">Quadrant counts (4-quadrant city health)</w:t>
      </w:r>
      <w:bookmarkEnd w:id="44"/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</w:rPr>
        <w:t xml:space="preserve">11% threshold on PM YoY and UE YoY</w:t>
      </w:r>
      <w:r>
        <w:t xml:space="preserve"> </w:t>
      </w:r>
      <w:r>
        <w:t xml:space="preserve">independently: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Healthy</w:t>
            </w:r>
          </w:p>
        </w:tc>
        <w:tc>
          <w:p>
            <w:pPr>
              <w:pStyle w:val="Compact"/>
              <w:jc w:val="left"/>
            </w:pPr>
            <w:r>
              <w:t xml:space="preserve">PM YoY ≥ 11% AND UE YoY ≥ 11%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UE-driven</w:t>
            </w:r>
          </w:p>
        </w:tc>
        <w:tc>
          <w:p>
            <w:pPr>
              <w:pStyle w:val="Compact"/>
              <w:jc w:val="left"/>
            </w:pPr>
            <w:r>
              <w:t xml:space="preserve">UE YoY ≥ 11% AND PM YoY &lt; 11%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PM-driven</w:t>
            </w:r>
          </w:p>
        </w:tc>
        <w:tc>
          <w:p>
            <w:pPr>
              <w:pStyle w:val="Compact"/>
              <w:jc w:val="left"/>
            </w:pPr>
            <w:r>
              <w:t xml:space="preserve">PM YoY ≥ 11% AND UE YoY &lt; 11%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Leakage</w:t>
            </w:r>
          </w:p>
        </w:tc>
        <w:tc>
          <w:p>
            <w:pPr>
              <w:pStyle w:val="Compact"/>
              <w:jc w:val="left"/>
            </w:pPr>
            <w:r>
              <w:t xml:space="preserve">PM YoY &lt; 11% AND UE YoY &lt; 11%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quadrant(r):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r.UE_GB_YoY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 Healthy'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r.UE_GB_YoY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'PM-driven'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r.PM_GB_YoY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r.UE_GB_YoY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'UE-driven'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'Leakage'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'Quadrant'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(quadrant,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Heading4"/>
      </w:pPr>
      <w:bookmarkStart w:id="45" w:name="dim-tier-counts"/>
      <w:r>
        <w:t xml:space="preserve">DIM tier counts</w:t>
      </w:r>
      <w:bookmarkEnd w:id="45"/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</w:rPr>
        <w:t xml:space="preserve">PM share thresholds (5%, 20%) and combined YoY threshold (11%)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Defend</w:t>
            </w:r>
          </w:p>
        </w:tc>
        <w:tc>
          <w:p>
            <w:pPr>
              <w:pStyle w:val="Compact"/>
              <w:jc w:val="left"/>
            </w:pPr>
            <w:r>
              <w:t xml:space="preserve">PM share ≥ 20% AND Combined YoY ≥ 11%</w:t>
            </w:r>
          </w:p>
        </w:tc>
        <w:tc>
          <w:p>
            <w:pPr>
              <w:pStyle w:val="Compact"/>
              <w:jc w:val="left"/>
            </w:pPr>
            <w:r>
              <w:t xml:space="preserve">2 (L1, C1)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Investigate</w:t>
            </w:r>
          </w:p>
        </w:tc>
        <w:tc>
          <w:p>
            <w:pPr>
              <w:pStyle w:val="Compact"/>
              <w:jc w:val="left"/>
            </w:pPr>
            <w:r>
              <w:t xml:space="preserve">PM share ≥ 5% AND Combined YoY &lt; 11%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</w:t>
            </w:r>
          </w:p>
        </w:tc>
        <w:tc>
          <w:p>
            <w:pPr>
              <w:pStyle w:val="Compact"/>
              <w:jc w:val="left"/>
            </w:pPr>
            <w:r>
              <w:t xml:space="preserve">PM share 5–20% AND Combined YoY ≥ 11%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Migrate</w:t>
            </w:r>
          </w:p>
        </w:tc>
        <w:tc>
          <w:p>
            <w:pPr>
              <w:pStyle w:val="Compact"/>
              <w:jc w:val="left"/>
            </w:pPr>
            <w:r>
              <w:t xml:space="preserve">PM share &lt; 5%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classify_tier(r, defend_share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defend_growth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investigate_share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maintain_share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r.PM_share_start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defend_share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r.Combined_GB_YoY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defend_growth: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'Defend'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r.PM_share_start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investigate_share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r.Combined_GB_YoY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defend_growth: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'Investigate'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r.PM_share_start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maintain_share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r.Combined_GB_YoY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defend_growth: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'Maintain'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'Migrate'</w:t>
      </w:r>
    </w:p>
    <w:p>
      <w:pPr>
        <w:pStyle w:val="FirstParagraph"/>
      </w:pPr>
      <w:r>
        <w:rPr>
          <w:b/>
        </w:rPr>
        <w:t xml:space="preserve">Investigate cluster (14 cities):</w:t>
      </w:r>
      <w:r>
        <w:t xml:space="preserve"> </w:t>
      </w:r>
      <w:r>
        <w:t xml:space="preserve">L2, V1, S6, O1, P1, O2, I1, P5, S1, S3, P3, W2, S4, S5</w:t>
      </w:r>
    </w:p>
    <w:p>
      <w:pPr>
        <w:pStyle w:val="Heading4"/>
      </w:pPr>
      <w:bookmarkStart w:id="46" w:name="Xeef7cbd70e44ae31f8727d8f45e53ce52f65bf6"/>
      <w:r>
        <w:t xml:space="preserve">9.5% — PM national share within Uber (GB-weighted)</w:t>
      </w:r>
      <w:bookmarkEnd w:id="46"/>
    </w:p>
    <w:p>
      <w:pPr>
        <w:pStyle w:val="SourceCode"/>
      </w:pPr>
      <w:r>
        <w:rPr>
          <w:rStyle w:val="NormalTok"/>
        </w:rPr>
        <w:t xml:space="preserve">pm_share_national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df[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= 0.0951 → 9.5%</w:t>
      </w:r>
    </w:p>
    <w:p>
      <w:pPr>
        <w:pStyle w:val="Heading4"/>
      </w:pPr>
      <w:bookmarkStart w:id="47" w:name="thresholds-rationale"/>
      <w:r>
        <w:t xml:space="preserve">20% / 5% thresholds rationale</w:t>
      </w:r>
      <w:bookmarkEnd w:id="4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20%</w:t>
      </w:r>
      <w:r>
        <w:t xml:space="preserve"> </w:t>
      </w:r>
      <w:r>
        <w:t xml:space="preserve">= roughly 2× the national 9.5% baseline → clear local stronghold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5%</w:t>
      </w:r>
      <w:r>
        <w:t xml:space="preserve"> </w:t>
      </w:r>
      <w:r>
        <w:t xml:space="preserve">= minimum viable presence; below this, operational cost of dedicated PM retention spend isn’t justified</w:t>
      </w:r>
    </w:p>
    <w:p>
      <w:pPr>
        <w:numPr>
          <w:ilvl w:val="0"/>
          <w:numId w:val="1012"/>
        </w:numPr>
        <w:pStyle w:val="Compact"/>
      </w:pPr>
      <w:r>
        <w:t xml:space="preserve">Sensitivity-tested across alternative thresholds (see</w:t>
      </w:r>
      <w:r>
        <w:t xml:space="preserve"> </w:t>
      </w:r>
      <w:r>
        <w:rPr>
          <w:rStyle w:val="VerbatimChar"/>
        </w:rPr>
        <w:t xml:space="preserve">backup_queries.ipynb</w:t>
      </w:r>
      <w:r>
        <w:t xml:space="preserve"> </w:t>
      </w:r>
      <w:r>
        <w:t xml:space="preserve">Section B) — top-tier cities (L1, C1, L2, V1) remain in their respective tiers under reasonable threshold variations</w:t>
      </w:r>
    </w:p>
    <w:p>
      <w:pPr>
        <w:pStyle w:val="Heading4"/>
      </w:pPr>
      <w:bookmarkStart w:id="48" w:name="la-postmates-share-jun-23"/>
      <w:r>
        <w:t xml:space="preserve">36% — LA Postmates share (Jun-23)</w:t>
      </w:r>
      <w:bookmarkEnd w:id="48"/>
    </w:p>
    <w:p>
      <w:pPr>
        <w:pStyle w:val="SourceCode"/>
      </w:pP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'City 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'2023-06-01'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pm_l2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l2[l2.App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ue_l2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l2[l2.App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'UberEats'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pm_l2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(pm_l2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ue_l2)</w:t>
      </w:r>
      <w:r>
        <w:br/>
      </w:r>
      <w:r>
        <w:rPr>
          <w:rStyle w:val="CommentTok"/>
        </w:rPr>
        <w:t xml:space="preserve"># = 0.356 → 35.6%, rounded to 36% in script</w:t>
      </w:r>
      <w:r>
        <w:br/>
      </w:r>
      <w:r>
        <w:rPr>
          <w:rStyle w:val="CommentTok"/>
        </w:rPr>
        <w:t xml:space="preserve"># Jun-22 share was 43.6% — confirmed downward trend</w:t>
      </w:r>
    </w:p>
    <w:p>
      <w:pPr>
        <w:pStyle w:val="Heading3"/>
      </w:pPr>
      <w:bookmarkStart w:id="49" w:name="la-specific-metrics"/>
      <w:r>
        <w:t xml:space="preserve">4.3 LA-specific metrics</w:t>
      </w:r>
      <w:bookmarkEnd w:id="49"/>
    </w:p>
    <w:p>
      <w:pPr>
        <w:pStyle w:val="Heading4"/>
      </w:pPr>
      <w:bookmarkStart w:id="50" w:name="k-la-active-eater-pool"/>
      <w:r>
        <w:t xml:space="preserve">13.5K — LA Active Eater pool</w:t>
      </w:r>
      <w:bookmarkEnd w:id="5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Postmates LA AE Jun-23:</w:t>
      </w:r>
      <w:r>
        <w:t xml:space="preserve"> </w:t>
      </w:r>
      <w:r>
        <w:t xml:space="preserve">4,462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Uber Eats LA AE Jun-23:</w:t>
      </w:r>
      <w:r>
        <w:t xml:space="preserve"> </w:t>
      </w:r>
      <w:r>
        <w:t xml:space="preserve">~9,000+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Combined (upper bound):</w:t>
      </w:r>
      <w:r>
        <w:t xml:space="preserve"> </w:t>
      </w:r>
      <w:r>
        <w:t xml:space="preserve">~13,500 (note: same person can be AE on both apps in the same month — this is an upper bound on unique users)</w:t>
      </w:r>
    </w:p>
    <w:p>
      <w:pPr>
        <w:pStyle w:val="Heading4"/>
      </w:pPr>
      <w:bookmarkStart w:id="51" w:name="X4e5e384557e08d669cf6c300ff57cecced761d3"/>
      <w:r>
        <w:t xml:space="preserve">27.8% (aggregate) / 24.2% (LA-specific) — PM Active Eater YoY decline</w:t>
      </w:r>
      <w:bookmarkEnd w:id="51"/>
    </w:p>
    <w:p>
      <w:pPr>
        <w:pStyle w:val="FirstParagraph"/>
      </w:pPr>
      <w:r>
        <w:rPr>
          <w:b/>
        </w:rPr>
        <w:t xml:space="preserve">Two scopes</w:t>
      </w:r>
      <w:r>
        <w:t xml:space="preserve"> </w:t>
      </w:r>
      <w:r>
        <w:t xml:space="preserve">— both defensible, but make sure context is clear: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PM 44-city aggregate AE YoY: −27.8%</w:t>
      </w:r>
      <w:r>
        <w:t xml:space="preserve"> </w:t>
      </w:r>
      <w:r>
        <w:t xml:space="preserve">— used in the</w:t>
      </w:r>
      <w:r>
        <w:t xml:space="preserve"> </w:t>
      </w:r>
      <w:r>
        <w:t xml:space="preserve">“</w:t>
      </w:r>
      <w:r>
        <w:t xml:space="preserve">AE has the steepest drop</w:t>
      </w:r>
      <w:r>
        <w:t xml:space="preserve">”</w:t>
      </w:r>
      <w:r>
        <w:t xml:space="preserve"> </w:t>
      </w:r>
      <w:r>
        <w:t xml:space="preserve">thesis (Slide 7, generalizing the AE-as-priority lever argument)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LA-specific PM AE YoY: −24.2%</w:t>
      </w:r>
      <w:r>
        <w:t xml:space="preserve"> </w:t>
      </w:r>
      <w:r>
        <w:t xml:space="preserve">— used in LA cohort sizing (5,889 → 4,462)</w:t>
      </w:r>
    </w:p>
    <w:p>
      <w:pPr>
        <w:pStyle w:val="FirstParagraph"/>
      </w:pPr>
      <w:r>
        <w:t xml:space="preserve">The LA-specific is what drives the</w:t>
      </w:r>
      <w:r>
        <w:t xml:space="preserve"> </w:t>
      </w:r>
      <w:r>
        <w:rPr>
          <w:b/>
        </w:rPr>
        <w:t xml:space="preserve">1,427 AE lost</w:t>
      </w:r>
      <w:r>
        <w:t xml:space="preserve"> </w:t>
      </w:r>
      <w:r>
        <w:t xml:space="preserve">figure and the cluster scaling math.</w:t>
      </w:r>
    </w:p>
    <w:p>
      <w:pPr>
        <w:pStyle w:val="Heading4"/>
      </w:pPr>
      <w:bookmarkStart w:id="52" w:name="X9b9fd4d254b5cb679bbb467d179d03b1993d7a0"/>
      <w:r>
        <w:t xml:space="preserve">LA PM Active Eater YoY decline — derivation</w:t>
      </w:r>
      <w:bookmarkEnd w:id="52"/>
    </w:p>
    <w:p>
      <w:pPr>
        <w:pStyle w:val="SourceCode"/>
      </w:pPr>
      <w:r>
        <w:rPr>
          <w:rStyle w:val="NormalTok"/>
        </w:rPr>
        <w:t xml:space="preserve">pm_la_22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'City 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(df[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'2022-06-01'</w:t>
      </w:r>
      <w:r>
        <w:rPr>
          <w:rStyle w:val="NormalTok"/>
        </w:rPr>
        <w:t xml:space="preserve">)][</w:t>
      </w:r>
      <w:r>
        <w:rPr>
          <w:rStyle w:val="StringTok"/>
        </w:rPr>
        <w:t xml:space="preserve">'Active Eaters'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pm_la_23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'City 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(df[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'2023-06-01'</w:t>
      </w:r>
      <w:r>
        <w:rPr>
          <w:rStyle w:val="NormalTok"/>
        </w:rPr>
        <w:t xml:space="preserve">)][</w:t>
      </w:r>
      <w:r>
        <w:rPr>
          <w:rStyle w:val="StringTok"/>
        </w:rPr>
        <w:t xml:space="preserve">'Active Eaters'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(pm_la_23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pm_la_22)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pm_la_22  </w:t>
      </w:r>
      <w:r>
        <w:rPr>
          <w:rStyle w:val="CommentTok"/>
        </w:rPr>
        <w:t xml:space="preserve"># = -0.278 → -27.8%</w:t>
      </w:r>
    </w:p>
    <w:p>
      <w:pPr>
        <w:pStyle w:val="Heading4"/>
      </w:pPr>
      <w:bookmarkStart w:id="53" w:name="Xbf273000d450749690c51eb5a5946857f5110bc"/>
      <w:r>
        <w:t xml:space="preserve">$1.42M — LA Postmates annualized GB decline (Method A)</w:t>
      </w:r>
      <w:bookmarkEnd w:id="53"/>
    </w:p>
    <w:p>
      <w:pPr>
        <w:pStyle w:val="FirstParagraph"/>
      </w:pPr>
      <w:r>
        <w:rPr>
          <w:b/>
        </w:rPr>
        <w:t xml:space="preserve">Method A — single-month YoY × 12 (controls for seasonality):</w:t>
      </w:r>
    </w:p>
    <w:p>
      <w:pPr>
        <w:pStyle w:val="SourceCode"/>
      </w:pPr>
      <w:r>
        <w:rPr>
          <w:rStyle w:val="NormalTok"/>
        </w:rPr>
        <w:t xml:space="preserve">pm_la_jun22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1_020_779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 PM GB, Jun 2022</w:t>
      </w:r>
      <w:r>
        <w:br/>
      </w:r>
      <w:r>
        <w:rPr>
          <w:rStyle w:val="NormalTok"/>
        </w:rPr>
        <w:t xml:space="preserve">pm_la_jun23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902_597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 PM GB, Jun 2023</w:t>
      </w:r>
      <w:r>
        <w:br/>
      </w:r>
      <w:r>
        <w:rPr>
          <w:rStyle w:val="NormalTok"/>
        </w:rPr>
        <w:t xml:space="preserve">monthly_gap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pm_la_jun22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pm_la_jun23  </w:t>
      </w:r>
      <w:r>
        <w:rPr>
          <w:rStyle w:val="CommentTok"/>
        </w:rPr>
        <w:t xml:space="preserve"># = $118,182 / month</w:t>
      </w:r>
      <w:r>
        <w:br/>
      </w:r>
      <w:r>
        <w:rPr>
          <w:rStyle w:val="NormalTok"/>
        </w:rPr>
        <w:t xml:space="preserve">annual_decline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monthly_gap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 $1.42M / year</w:t>
      </w:r>
    </w:p>
    <w:p>
      <w:pPr>
        <w:pStyle w:val="FirstParagraph"/>
      </w:pPr>
      <w:r>
        <w:rPr>
          <w:b/>
        </w:rPr>
        <w:t xml:space="preserve">Why Method A:</w:t>
      </w:r>
      <w:r>
        <w:t xml:space="preserve"> </w:t>
      </w:r>
      <w:r>
        <w:t xml:space="preserve">comparing the same calendar month year-over-year removes seasonality bias (Feb-vs-Jul comparisons would over-state or under-state decline). With only 13 months of data, this is the cleanest seasonality-controlled estimate.</w:t>
      </w:r>
    </w:p>
    <w:p>
      <w:pPr>
        <w:pStyle w:val="BodyText"/>
      </w:pPr>
      <w:r>
        <w:rPr>
          <w:b/>
        </w:rPr>
        <w:t xml:space="preserve">Cross-check:</w:t>
      </w:r>
      <w:r>
        <w:t xml:space="preserve"> </w:t>
      </w:r>
      <w:r>
        <w:t xml:space="preserve">H1-avg vs H2-avg method gives ~$504K monthly gap × 12 = $6M (overstates because Q4 2022 was strong). 13-month realized loss = $551K (understates because doesn’t capture the divergence accelerating). The Method-A point estimate of $1.42M is the forward-looking projection if the Jun-23 trajectory continues.</w:t>
      </w:r>
    </w:p>
    <w:p>
      <w:pPr>
        <w:pStyle w:val="Heading4"/>
      </w:pPr>
      <w:bookmarkStart w:id="54" w:name="X6ed5ed38b8093c7c9dc2419a540589e1c4ed302"/>
      <w:r>
        <w:t xml:space="preserve">Pool retention formula &amp; baseline (~97% in healthy markets, lower in LA)</w:t>
      </w:r>
      <w:bookmarkEnd w:id="54"/>
    </w:p>
    <w:p>
      <w:pPr>
        <w:pStyle w:val="FirstParagraph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Pool retention = AE_t / (AE_{t-1} + NE_t)</w:t>
      </w:r>
    </w:p>
    <w:p>
      <w:pPr>
        <w:pStyle w:val="FirstParagraph"/>
      </w:pPr>
      <w:r>
        <w:rPr>
          <w:b/>
        </w:rPr>
        <w:t xml:space="preserve">Reading:</w:t>
      </w:r>
      <w:r>
        <w:t xml:space="preserve"> </w:t>
      </w:r>
      <w:r>
        <w:t xml:space="preserve">“</w:t>
      </w:r>
      <w:r>
        <w:t xml:space="preserve">Out of last month’s actives + this month’s new eaters, what fraction is in this month’s active stock.</w:t>
      </w:r>
      <w:r>
        <w:t xml:space="preserve">”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</w:rPr>
        <w:t xml:space="preserve">net metric</w:t>
      </w:r>
      <w:r>
        <w:t xml:space="preserve"> </w:t>
      </w:r>
      <w:r>
        <w:t xml:space="preserve">— it’s affected by:</w:t>
      </w:r>
      <w:r>
        <w:t xml:space="preserve"> </w:t>
      </w:r>
      <w:r>
        <w:t xml:space="preserve">- True user-level retention (existing AEs staying active)</w:t>
      </w:r>
      <w:r>
        <w:t xml:space="preserve"> </w:t>
      </w:r>
      <w:r>
        <w:t xml:space="preserve">- New eater conversion to AE within the month</w:t>
      </w:r>
      <w:r>
        <w:t xml:space="preserve"> </w:t>
      </w:r>
      <w:r>
        <w:t xml:space="preserve">- Active eaters churning out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true cohort retention rate. We use it only directionally because the case data is not user-level.</w:t>
      </w:r>
    </w:p>
    <w:p>
      <w:pPr>
        <w:pStyle w:val="BodyText"/>
      </w:pPr>
      <w:r>
        <w:rPr>
          <w:b/>
        </w:rPr>
        <w:t xml:space="preserve">Why the +3pp = 100% defense math works:</w:t>
      </w:r>
      <w:r>
        <w:t xml:space="preserve"> </w:t>
      </w:r>
      <w:r>
        <w:t xml:space="preserve">At ~97% baseline pool retention, +3pp = 100% pool retention, which is the theoretical mathematical ceiling. The lift can come from improved AE retention, NE acquisition outpacing churn, or both. In practice we treat +3pp as an upper-bound model output, not a guaranteed retention outcome — that’s why we anchor the recommendation on the +2pp base case.</w:t>
      </w:r>
    </w:p>
    <w:p>
      <w:pPr>
        <w:pStyle w:val="Heading3"/>
      </w:pPr>
      <w:bookmarkStart w:id="55" w:name="X193fca5549175e95226063d3f170aa873b1383e"/>
      <w:r>
        <w:t xml:space="preserve">4.4 Why PM Active Eater retention (not New Eater)</w:t>
      </w:r>
      <w:bookmarkEnd w:id="5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Scale</w:t>
      </w:r>
      <w:r>
        <w:t xml:space="preserve"> </w:t>
      </w:r>
      <w:r>
        <w:t xml:space="preserve">— AE pool ~13.5K is 12× the NE base (~1.1K/month nationally)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Slope</w:t>
      </w:r>
      <w:r>
        <w:t xml:space="preserve"> </w:t>
      </w:r>
      <w:r>
        <w:t xml:space="preserve">— AE YoY is −27.8%, the steepest declining metric for PM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Leverage</w:t>
      </w:r>
      <w:r>
        <w:t xml:space="preserve"> </w:t>
      </w:r>
      <w:r>
        <w:t xml:space="preserve">— retention mechanics are reusable across cities; NE acquisition typically requires per-city redesign (local merchant partnerships, local marketing pushes)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LTV compounding</w:t>
      </w:r>
      <w:r>
        <w:t xml:space="preserve"> </w:t>
      </w:r>
      <w:r>
        <w:t xml:space="preserve">— every retained user becomes future LTV across multiple years; new-acquisition has CAC headwind</w:t>
      </w:r>
    </w:p>
    <w:p>
      <w:pPr>
        <w:pStyle w:val="Heading3"/>
      </w:pPr>
      <w:bookmarkStart w:id="56" w:name="why-pm-earns-its-place-supporting-data"/>
      <w:r>
        <w:t xml:space="preserve">4.5 Why PM earns its place — supporting data</w:t>
      </w:r>
      <w:bookmarkEnd w:id="56"/>
    </w:p>
    <w:p>
      <w:pPr>
        <w:pStyle w:val="Heading4"/>
      </w:pPr>
      <w:bookmarkStart w:id="57" w:name="reach-60-multi-home-77-uedd-overlap"/>
      <w:r>
        <w:t xml:space="preserve">Reach: 60% multi-home, 77% UE/DD overlap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60% of US delivery users multi-home (CivicScience Nov 2023)</w:t>
      </w:r>
    </w:p>
    <w:p>
      <w:pPr>
        <w:numPr>
          <w:ilvl w:val="0"/>
          <w:numId w:val="1016"/>
        </w:numPr>
        <w:pStyle w:val="Compact"/>
      </w:pPr>
      <w:r>
        <w:t xml:space="preserve">77% of UE users also use DoorDash (Earnest Analytics 2023)</w:t>
      </w:r>
    </w:p>
    <w:p>
      <w:pPr>
        <w:numPr>
          <w:ilvl w:val="0"/>
          <w:numId w:val="1016"/>
        </w:numPr>
        <w:pStyle w:val="Compact"/>
      </w:pPr>
      <w:r>
        <w:t xml:space="preserve">Indicates UE has no unique brand pull — most users switch platform by promotion</w:t>
      </w:r>
    </w:p>
    <w:p>
      <w:pPr>
        <w:pStyle w:val="Heading4"/>
      </w:pPr>
      <w:bookmarkStart w:id="58" w:name="Xa91c745bdf45afb5271053e6ea115a9960c0554"/>
      <w:r>
        <w:t xml:space="preserve">Curation: PM 85% SMB vs UE 79% SMB (case data, GB-weighted)</w:t>
      </w:r>
      <w:bookmarkEnd w:id="58"/>
    </w:p>
    <w:p>
      <w:pPr>
        <w:pStyle w:val="SourceCode"/>
      </w:pPr>
      <w:r>
        <w:rPr>
          <w:rStyle w:val="NormalTok"/>
        </w:rPr>
        <w:t xml:space="preserve">pm_smb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'SMB % Online 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= 0.85 (PM aggregate)</w:t>
      </w:r>
      <w:r>
        <w:br/>
      </w:r>
      <w:r>
        <w:rPr>
          <w:rStyle w:val="CommentTok"/>
        </w:rPr>
        <w:t xml:space="preserve"># UE aggregate = 0.79</w:t>
      </w:r>
    </w:p>
    <w:p>
      <w:pPr>
        <w:pStyle w:val="Heading4"/>
      </w:pPr>
      <w:bookmarkStart w:id="59" w:name="aov-pm-32.57-vs-ue-28.99-12-premium"/>
      <w:r>
        <w:t xml:space="preserve">AOV: PM $32.57 vs UE $28.99 (+12% premium)</w:t>
      </w:r>
      <w:bookmarkEnd w:id="59"/>
    </w:p>
    <w:p>
      <w:pPr>
        <w:pStyle w:val="SourceCode"/>
      </w:pPr>
      <w:r>
        <w:rPr>
          <w:rStyle w:val="NormalTok"/>
        </w:rPr>
        <w:t xml:space="preserve">pm_aov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'Gross Bookings'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df[df.App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'Postmates'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'Trips'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= $32.57 (PM aggregate across 44 cities × 13 months)</w:t>
      </w:r>
      <w:r>
        <w:br/>
      </w:r>
      <w:r>
        <w:rPr>
          <w:rStyle w:val="CommentTok"/>
        </w:rPr>
        <w:t xml:space="preserve"># UE aggregate = $28.99</w:t>
      </w:r>
    </w:p>
    <w:p>
      <w:pPr>
        <w:pStyle w:val="FirstParagraph"/>
      </w:pPr>
      <w:r>
        <w:t xml:space="preserve">This +12% premium holds across</w:t>
      </w:r>
      <w:r>
        <w:t xml:space="preserve"> </w:t>
      </w:r>
      <w:r>
        <w:rPr>
          <w:b/>
        </w:rPr>
        <w:t xml:space="preserve">41 of 44 cities</w:t>
      </w:r>
      <w:r>
        <w:t xml:space="preserve"> </w:t>
      </w:r>
      <w:r>
        <w:t xml:space="preserve">— validated locally, not just in aggregate.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models-scenario-analysis-ltv"/>
      <w:r>
        <w:t xml:space="preserve">5. Models — Scenario Analysis &amp; LTV</w:t>
      </w:r>
      <w:bookmarkEnd w:id="60"/>
    </w:p>
    <w:p>
      <w:pPr>
        <w:pStyle w:val="Heading3"/>
      </w:pPr>
      <w:bookmarkStart w:id="61" w:name="scenario-analysis-size-of-the-prize"/>
      <w:r>
        <w:t xml:space="preserve">5.1 Scenario analysis — Size of the Prize</w:t>
      </w:r>
      <w:bookmarkEnd w:id="61"/>
    </w:p>
    <w:p>
      <w:pPr>
        <w:pStyle w:val="Heading4"/>
      </w:pPr>
      <w:bookmarkStart w:id="62" w:name="inputs"/>
      <w:r>
        <w:t xml:space="preserve">Inputs</w:t>
      </w:r>
      <w:bookmarkEnd w:id="62"/>
    </w:p>
    <w:p>
      <w:pPr>
        <w:numPr>
          <w:ilvl w:val="0"/>
          <w:numId w:val="1017"/>
        </w:numPr>
        <w:pStyle w:val="Compact"/>
      </w:pPr>
      <w:r>
        <w:t xml:space="preserve">LA annualized PM GB decline:</w:t>
      </w:r>
      <w:r>
        <w:t xml:space="preserve"> </w:t>
      </w:r>
      <w:r>
        <w:rPr>
          <w:b/>
        </w:rPr>
        <w:t xml:space="preserve">$1.42M</w:t>
      </w:r>
      <w:r>
        <w:t xml:space="preserve"> </w:t>
      </w:r>
      <w:r>
        <w:t xml:space="preserve">(Method A, see §4.3)</w:t>
      </w:r>
    </w:p>
    <w:p>
      <w:pPr>
        <w:numPr>
          <w:ilvl w:val="0"/>
          <w:numId w:val="1017"/>
        </w:numPr>
        <w:pStyle w:val="Compact"/>
      </w:pPr>
      <w:r>
        <w:t xml:space="preserve">LA PM take rate: 12.1% (= $1.54M LA PM NR ÷ $12.72M LA PM GB across 13 months)</w:t>
      </w:r>
    </w:p>
    <w:p>
      <w:pPr>
        <w:numPr>
          <w:ilvl w:val="0"/>
          <w:numId w:val="1017"/>
        </w:numPr>
        <w:pStyle w:val="Compact"/>
      </w:pPr>
      <w:r>
        <w:t xml:space="preserve">LA PM AE Jun-22: 5,889 → Jun-23: 4,462 → net AE decline: −1,427</w:t>
      </w:r>
    </w:p>
    <w:p>
      <w:pPr>
        <w:pStyle w:val="Heading4"/>
      </w:pPr>
      <w:bookmarkStart w:id="63" w:name="scenario-formula"/>
      <w:r>
        <w:t xml:space="preserve">Scenario formula</w:t>
      </w:r>
      <w:bookmarkEnd w:id="63"/>
    </w:p>
    <w:p>
      <w:pPr>
        <w:pStyle w:val="SourceCode"/>
      </w:pPr>
      <w:r>
        <w:rPr>
          <w:rStyle w:val="VerbatimChar"/>
        </w:rPr>
        <w:t xml:space="preserve">Year-1 GB defended = $1.42M × arrest %</w:t>
      </w:r>
      <w:r>
        <w:br/>
      </w:r>
      <w:r>
        <w:rPr>
          <w:rStyle w:val="VerbatimChar"/>
        </w:rPr>
        <w:t xml:space="preserve">Year-1 NR         = Year-1 GB defended × 12.1%</w:t>
      </w:r>
      <w:r>
        <w:br/>
      </w:r>
      <w:r>
        <w:rPr>
          <w:rStyle w:val="VerbatimChar"/>
        </w:rPr>
        <w:t xml:space="preserve">AEs saved         = 1,427 × arrest %</w:t>
      </w:r>
    </w:p>
    <w:p>
      <w:pPr>
        <w:pStyle w:val="Heading4"/>
      </w:pPr>
      <w:bookmarkStart w:id="64" w:name="three-scenarios"/>
      <w:r>
        <w:t xml:space="preserve">Three scenarios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Retention lift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Arrest % of decline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Y1 GB defended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Y1 NR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AEs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p>
            <w:pPr>
              <w:pStyle w:val="Compact"/>
              <w:jc w:val="left"/>
            </w:pPr>
            <w:r>
              <w:t xml:space="preserve">+1pp</w:t>
            </w:r>
          </w:p>
        </w:tc>
        <w:tc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p>
            <w:pPr>
              <w:pStyle w:val="Compact"/>
              <w:jc w:val="left"/>
            </w:pPr>
            <w:r>
              <w:t xml:space="preserve">$568K</w:t>
            </w:r>
          </w:p>
        </w:tc>
        <w:tc>
          <w:p>
            <w:pPr>
              <w:pStyle w:val="Compact"/>
              <w:jc w:val="left"/>
            </w:pPr>
            <w:r>
              <w:t xml:space="preserve">$69K</w:t>
            </w:r>
          </w:p>
        </w:tc>
        <w:tc>
          <w:p>
            <w:pPr>
              <w:pStyle w:val="Compact"/>
              <w:jc w:val="left"/>
            </w:pPr>
            <w:r>
              <w:t xml:space="preserve">~510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(recommended)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+2pp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$1.21M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$146K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p>
            <w:pPr>
              <w:pStyle w:val="Compact"/>
              <w:jc w:val="left"/>
            </w:pPr>
            <w:r>
              <w:t xml:space="preserve">+3pp</w:t>
            </w:r>
          </w:p>
        </w:tc>
        <w:tc>
          <w:p>
            <w:pPr>
              <w:pStyle w:val="Compact"/>
              <w:jc w:val="left"/>
            </w:pPr>
            <w:r>
              <w:t xml:space="preserve">100% (upper bound)</w:t>
            </w:r>
          </w:p>
        </w:tc>
        <w:tc>
          <w:p>
            <w:pPr>
              <w:pStyle w:val="Compact"/>
              <w:jc w:val="left"/>
            </w:pPr>
            <w:r>
              <w:t xml:space="preserve">$1.42M</w:t>
            </w:r>
          </w:p>
        </w:tc>
        <w:tc>
          <w:p>
            <w:pPr>
              <w:pStyle w:val="Compact"/>
              <w:jc w:val="left"/>
            </w:pPr>
            <w:r>
              <w:t xml:space="preserve">$172K</w:t>
            </w:r>
          </w:p>
        </w:tc>
        <w:tc>
          <w:p>
            <w:pPr>
              <w:pStyle w:val="Compact"/>
              <w:jc w:val="left"/>
            </w:pPr>
            <w:r>
              <w:t xml:space="preserve">~1,427</w:t>
            </w:r>
          </w:p>
        </w:tc>
      </w:tr>
    </w:tbl>
    <w:p>
      <w:pPr>
        <w:pStyle w:val="BodyText"/>
      </w:pPr>
      <w:r>
        <w:rPr>
          <w:b/>
        </w:rPr>
        <w:t xml:space="preserve">Industry benchmark check:</w:t>
      </w:r>
      <w:r>
        <w:t xml:space="preserve"> </w:t>
      </w:r>
      <w:r>
        <w:t xml:space="preserve">Typical retention pilots in food delivery deliver 1–4 percentage points of retention lift, so all three scenarios sit within industry-realistic range.</w:t>
      </w:r>
    </w:p>
    <w:p>
      <w:pPr>
        <w:pStyle w:val="Heading4"/>
      </w:pPr>
      <w:bookmarkStart w:id="65" w:name="cluster-scaling-14-city-investigate-tier"/>
      <w:r>
        <w:t xml:space="preserve">Cluster scaling — 14-city Investigate tier</w:t>
      </w:r>
      <w:bookmarkEnd w:id="65"/>
    </w:p>
    <w:p>
      <w:pPr>
        <w:pStyle w:val="FirstParagraph"/>
      </w:pPr>
      <w:r>
        <w:rPr>
          <w:b/>
        </w:rPr>
        <w:t xml:space="preserve">Cluster annualized PM GB decline: $3.09M / year</w:t>
      </w:r>
      <w:r>
        <w:t xml:space="preserve"> </w:t>
      </w:r>
      <w:r>
        <w:t xml:space="preserve">(sum of 14 Investigate cities)</w:t>
      </w:r>
    </w:p>
    <w:p>
      <w:pPr>
        <w:pStyle w:val="BodyText"/>
      </w:pPr>
      <w:r>
        <w:t xml:space="preserve">Top 5 contributors (74% of cluster decline):</w:t>
      </w:r>
      <w:r>
        <w:t xml:space="preserve"> </w:t>
      </w:r>
      <w:r>
        <w:t xml:space="preserve">| City | Annual decline | % of cluster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L2 (LA) | $1.42M | 46% |</w:t>
      </w:r>
      <w:r>
        <w:t xml:space="preserve"> </w:t>
      </w:r>
      <w:r>
        <w:t xml:space="preserve">| P3 | $0.30M | 10% |</w:t>
      </w:r>
      <w:r>
        <w:t xml:space="preserve"> </w:t>
      </w:r>
      <w:r>
        <w:t xml:space="preserve">| S3 | $0.22M | 7% |</w:t>
      </w:r>
      <w:r>
        <w:t xml:space="preserve"> </w:t>
      </w:r>
      <w:r>
        <w:t xml:space="preserve">| O2 | $0.18M | 6% |</w:t>
      </w:r>
      <w:r>
        <w:t xml:space="preserve"> </w:t>
      </w:r>
      <w:r>
        <w:t xml:space="preserve">| P1 | $0.15M | 5% |</w:t>
      </w:r>
    </w:p>
    <w:p>
      <w:pPr>
        <w:pStyle w:val="BodyText"/>
      </w:pPr>
      <w:r>
        <w:rPr>
          <w:b/>
        </w:rPr>
        <w:t xml:space="preserve">Cluster Base case (apply +2pp / 87% arrest cluster-wide):</w:t>
      </w:r>
      <w:r>
        <w:t xml:space="preserve"> </w:t>
      </w:r>
      <w:r>
        <w:t xml:space="preserve">- Y1 GB defended:</w:t>
      </w:r>
      <w:r>
        <w:t xml:space="preserve"> </w:t>
      </w:r>
      <w:r>
        <w:rPr>
          <w:b/>
        </w:rPr>
        <w:t xml:space="preserve">$2.69M</w:t>
      </w:r>
      <w:r>
        <w:t xml:space="preserve"> </w:t>
      </w:r>
      <w:r>
        <w:t xml:space="preserve">(≈ $2.7M)</w:t>
      </w:r>
      <w:r>
        <w:t xml:space="preserve"> </w:t>
      </w:r>
      <w:r>
        <w:t xml:space="preserve">- Y1 NR: ~$358K (at 13.3% cluster take rate)</w:t>
      </w:r>
      <w:r>
        <w:t xml:space="preserve"> </w:t>
      </w:r>
      <w:r>
        <w:t xml:space="preserve">- AEs saved:</w:t>
      </w:r>
      <w:r>
        <w:t xml:space="preserve"> </w:t>
      </w:r>
      <w:r>
        <w:rPr>
          <w:b/>
        </w:rPr>
        <w:t xml:space="preserve">~2,700</w:t>
      </w:r>
      <w:r>
        <w:t xml:space="preserve"> </w:t>
      </w:r>
      <w:r>
        <w:t xml:space="preserve">across cluster</w:t>
      </w:r>
    </w:p>
    <w:p>
      <w:pPr>
        <w:pStyle w:val="BodyText"/>
      </w:pPr>
      <w:r>
        <w:rPr>
          <w:b/>
        </w:rPr>
        <w:t xml:space="preserve">Replication confidence: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High (~67% of cluster decline):</w:t>
      </w:r>
      <w:r>
        <w:t xml:space="preserve"> </w:t>
      </w:r>
      <w:r>
        <w:t xml:space="preserve">L2, V1, O1, O2 — share similar PM stronghold profile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Medium:</w:t>
      </w:r>
      <w:r>
        <w:t xml:space="preserve"> </w:t>
      </w:r>
      <w:r>
        <w:t xml:space="preserve">P3, S3, S4, S5 — different demographics, replication TBD per pilot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Lower:</w:t>
      </w:r>
      <w:r>
        <w:t xml:space="preserve"> </w:t>
      </w:r>
      <w:r>
        <w:t xml:space="preserve">I1, S1, S6, P1, P5, W2 — playbook may need redesign</w:t>
      </w:r>
    </w:p>
    <w:p>
      <w:pPr>
        <w:pStyle w:val="Heading3"/>
      </w:pPr>
      <w:bookmarkStart w:id="66" w:name="ltv-model-three-scopes"/>
      <w:r>
        <w:t xml:space="preserve">5.2 LTV model — Three scopes</w:t>
      </w:r>
      <w:bookmarkEnd w:id="66"/>
    </w:p>
    <w:p>
      <w:pPr>
        <w:pStyle w:val="FirstParagraph"/>
      </w:pPr>
      <w:r>
        <w:t xml:space="preserve">(Full computation in</w:t>
      </w:r>
      <w:r>
        <w:t xml:space="preserve"> </w:t>
      </w:r>
      <w:r>
        <w:rPr>
          <w:rStyle w:val="VerbatimChar"/>
        </w:rPr>
        <w:t xml:space="preserve">ltv_calculator.html</w:t>
      </w:r>
      <w:r>
        <w:t xml:space="preserve">)</w:t>
      </w:r>
    </w:p>
    <w:p>
      <w:pPr>
        <w:pStyle w:val="Heading4"/>
      </w:pPr>
      <w:bookmarkStart w:id="67" w:name="inputs-1"/>
      <w:r>
        <w:t xml:space="preserve">Inputs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AOV</w:t>
            </w:r>
          </w:p>
        </w:tc>
        <w:tc>
          <w:p>
            <w:pPr>
              <w:pStyle w:val="Compact"/>
              <w:jc w:val="left"/>
            </w:pPr>
            <w:r>
              <w:t xml:space="preserve">$32.57</w:t>
            </w:r>
          </w:p>
        </w:tc>
        <w:tc>
          <w:p>
            <w:pPr>
              <w:pStyle w:val="Compact"/>
              <w:jc w:val="left"/>
            </w:pPr>
            <w:r>
              <w:t xml:space="preserve">PM 44-city aggregate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Trips per AE per month</w:t>
            </w:r>
          </w:p>
        </w:tc>
        <w:tc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p>
            <w:pPr>
              <w:pStyle w:val="Compact"/>
              <w:jc w:val="left"/>
            </w:pPr>
            <w:r>
              <w:t xml:space="preserve">PM aggregate (Trips ÷ AE)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Take rate</w:t>
            </w:r>
          </w:p>
        </w:tc>
        <w:tc>
          <w:p>
            <w:pPr>
              <w:pStyle w:val="Compact"/>
              <w:jc w:val="left"/>
            </w:pPr>
            <w:r>
              <w:t xml:space="preserve">12.9%</w:t>
            </w:r>
          </w:p>
        </w:tc>
        <w:tc>
          <w:p>
            <w:pPr>
              <w:pStyle w:val="Compact"/>
              <w:jc w:val="left"/>
            </w:pPr>
            <w:r>
              <w:t xml:space="preserve">PM aggregate (NR ÷ 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pool retention</w:t>
            </w:r>
          </w:p>
        </w:tc>
        <w:tc>
          <w:p>
            <w:pPr>
              <w:pStyle w:val="Compact"/>
              <w:jc w:val="left"/>
            </w:pPr>
            <w:r>
              <w:t xml:space="preserve">~91%</w:t>
            </w:r>
          </w:p>
        </w:tc>
        <w:tc>
          <w:p>
            <w:pPr>
              <w:pStyle w:val="Compact"/>
              <w:jc w:val="left"/>
            </w:pPr>
            <w:r>
              <w:t xml:space="preserve">PM aggregate, includes reactivation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discount</w:t>
            </w:r>
          </w:p>
        </w:tc>
        <w:tc>
          <w:p>
            <w:pPr>
              <w:pStyle w:val="Compact"/>
              <w:jc w:val="left"/>
            </w:pPr>
            <w:r>
              <w:t xml:space="preserve">2.1% of GB</w:t>
            </w:r>
          </w:p>
        </w:tc>
        <w:tc>
          <w:p>
            <w:pPr>
              <w:pStyle w:val="Compact"/>
              <w:jc w:val="left"/>
            </w:pPr>
            <w:r>
              <w:t xml:space="preserve">PM-specific (case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 frequency lift</w:t>
            </w:r>
          </w:p>
        </w:tc>
        <w:tc>
          <w:p>
            <w:pPr>
              <w:pStyle w:val="Compact"/>
              <w:jc w:val="left"/>
            </w:pPr>
            <w:r>
              <w:t xml:space="preserve">1.8×</w:t>
            </w:r>
          </w:p>
        </w:tc>
        <w:tc>
          <w:p>
            <w:pPr>
              <w:pStyle w:val="Compact"/>
              <w:jc w:val="left"/>
            </w:pPr>
            <w:r>
              <w:t xml:space="preserve">DoorDash DashPass benchmark (proxy)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p>
            <w:pPr>
              <w:pStyle w:val="Compact"/>
              <w:jc w:val="left"/>
            </w:pPr>
            <w:r>
              <w:t xml:space="preserve">3 years (36 months)</w:t>
            </w:r>
          </w:p>
        </w:tc>
        <w:tc>
          <w:p>
            <w:pPr>
              <w:pStyle w:val="Compact"/>
              <w:jc w:val="left"/>
            </w:pPr>
            <w:r>
              <w:t xml:space="preserve">Standard LTV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p>
            <w:pPr>
              <w:pStyle w:val="Compact"/>
              <w:jc w:val="left"/>
            </w:pPr>
            <w:r>
              <w:t xml:space="preserve">12% annual</w:t>
            </w:r>
          </w:p>
        </w:tc>
        <w:tc>
          <w:p>
            <w:pPr>
              <w:pStyle w:val="Compact"/>
              <w:jc w:val="left"/>
            </w:pPr>
            <w:r>
              <w:t xml:space="preserve">Used for present-value calculation</w:t>
            </w:r>
          </w:p>
        </w:tc>
      </w:tr>
    </w:tbl>
    <w:p>
      <w:pPr>
        <w:pStyle w:val="Heading4"/>
      </w:pPr>
      <w:bookmarkStart w:id="68" w:name="three-scopes"/>
      <w:r>
        <w:t xml:space="preserve">Three scopes</w:t>
      </w:r>
      <w:bookmarkEnd w:id="68"/>
    </w:p>
    <w:p>
      <w:pPr>
        <w:pStyle w:val="FirstParagraph"/>
      </w:pPr>
      <w:r>
        <w:rPr>
          <w:b/>
        </w:rPr>
        <w:t xml:space="preserve">A. Narrow scope — Postmates standalone</w:t>
      </w:r>
      <w:r>
        <w:t xml:space="preserve"> </w:t>
      </w:r>
      <w:r>
        <w:t xml:space="preserve">- Definition: only PM-originated NR over 3-year horizon</w:t>
      </w:r>
      <w:r>
        <w:t xml:space="preserve"> </w:t>
      </w:r>
      <w:r>
        <w:t xml:space="preserve">- Formula:</w:t>
      </w:r>
      <w:r>
        <w:t xml:space="preserve"> </w:t>
      </w:r>
      <w:r>
        <w:rPr>
          <w:rStyle w:val="VerbatimChar"/>
        </w:rPr>
        <w:t xml:space="preserve">Σ_t (AOV × Trips × take_rate × retention_t) / (1+r)^t</w:t>
      </w:r>
      <w:r>
        <w:t xml:space="preserve"> </w:t>
      </w:r>
      <w:r>
        <w:t xml:space="preserve">- Result:</w:t>
      </w:r>
      <w:r>
        <w:t xml:space="preserve"> </w:t>
      </w:r>
      <w:r>
        <w:rPr>
          <w:b/>
        </w:rPr>
        <w:t xml:space="preserve">~$114 per AE over 3 years</w:t>
      </w:r>
    </w:p>
    <w:p>
      <w:pPr>
        <w:pStyle w:val="BodyText"/>
      </w:pPr>
      <w:r>
        <w:rPr>
          <w:b/>
        </w:rPr>
        <w:t xml:space="preserve">B. Cross-platform scope — PM + attributed Rides + Eats + Uber One</w:t>
      </w:r>
      <w:r>
        <w:t xml:space="preserve"> </w:t>
      </w:r>
      <w:r>
        <w:t xml:space="preserve">- Definition: include NR from cross-platform behavior attributable to PM-acquired users</w:t>
      </w:r>
      <w:r>
        <w:t xml:space="preserve"> </w:t>
      </w:r>
      <w:r>
        <w:t xml:space="preserve">- Adds attributed Eats orders, Rides trips, and Uber One sub revenue</w:t>
      </w:r>
      <w:r>
        <w:t xml:space="preserve"> </w:t>
      </w:r>
      <w:r>
        <w:t xml:space="preserve">- Result:</w:t>
      </w:r>
      <w:r>
        <w:t xml:space="preserve"> </w:t>
      </w:r>
      <w:r>
        <w:rPr>
          <w:b/>
        </w:rPr>
        <w:t xml:space="preserve">~$150 per AE over 3 years</w:t>
      </w:r>
      <w:r>
        <w:t xml:space="preserve"> </w:t>
      </w:r>
      <w:r>
        <w:t xml:space="preserve">- This is the headline LTV used in the deck</w:t>
      </w:r>
    </w:p>
    <w:p>
      <w:pPr>
        <w:pStyle w:val="BodyText"/>
      </w:pPr>
      <w:r>
        <w:rPr>
          <w:b/>
        </w:rPr>
        <w:t xml:space="preserve">C. Subscriber scope — Uber One members</w:t>
      </w:r>
      <w:r>
        <w:t xml:space="preserve"> </w:t>
      </w:r>
      <w:r>
        <w:t xml:space="preserve">- Definition: subset of users on Uber One, where membership lifts order frequency 1.8× across all platforms</w:t>
      </w:r>
      <w:r>
        <w:t xml:space="preserve"> </w:t>
      </w:r>
      <w:r>
        <w:t xml:space="preserve">- Result:</w:t>
      </w:r>
      <w:r>
        <w:t xml:space="preserve"> </w:t>
      </w:r>
      <w:r>
        <w:rPr>
          <w:b/>
        </w:rPr>
        <w:t xml:space="preserve">~$292 per Uber One subscriber over 3 years</w:t>
      </w:r>
    </w:p>
    <w:p>
      <w:pPr>
        <w:pStyle w:val="Heading4"/>
      </w:pPr>
      <w:bookmarkStart w:id="69" w:name="uber-one-headroom"/>
      <w:r>
        <w:t xml:space="preserve">Uber One headroom</w:t>
      </w:r>
      <w:bookmarkEnd w:id="69"/>
    </w:p>
    <w:p>
      <w:pPr>
        <w:numPr>
          <w:ilvl w:val="0"/>
          <w:numId w:val="1018"/>
        </w:numPr>
      </w:pPr>
      <w:r>
        <w:rPr>
          <w:b/>
        </w:rPr>
        <w:t xml:space="preserve">DashPass DD subscriber penetration:</w:t>
      </w:r>
      <w:r>
        <w:t xml:space="preserve"> </w:t>
      </w:r>
      <w:r>
        <w:t xml:space="preserve">~40% (external benchmark)</w:t>
      </w:r>
    </w:p>
    <w:p>
      <w:pPr>
        <w:numPr>
          <w:ilvl w:val="0"/>
          <w:numId w:val="1018"/>
        </w:numPr>
      </w:pPr>
      <w:r>
        <w:rPr>
          <w:b/>
        </w:rPr>
        <w:t xml:space="preserve">Uber One PM-side penetration (case data):</w:t>
      </w:r>
      <w:r>
        <w:t xml:space="preserve"> </w:t>
      </w:r>
      <w:r>
        <w:t xml:space="preserve">~12%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Sub revenue / (subscribers × $9.99 fee)</w:t>
      </w:r>
      <w:r>
        <w:br/>
      </w:r>
      <w:r>
        <w:rPr>
          <w:rStyle w:val="NormalTok"/>
        </w:rPr>
        <w:t xml:space="preserve">pm_sub_pen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273_000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222_000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≈ 0.12 → 12%</w:t>
      </w:r>
    </w:p>
    <w:p>
      <w:pPr>
        <w:numPr>
          <w:ilvl w:val="0"/>
          <w:numId w:val="1018"/>
        </w:numPr>
      </w:pPr>
      <w:r>
        <w:rPr>
          <w:b/>
        </w:rPr>
        <w:t xml:space="preserve">3× runway</w:t>
      </w:r>
      <w:r>
        <w:t xml:space="preserve"> </w:t>
      </w:r>
      <w:r>
        <w:t xml:space="preserve">on Uber One sub conversion within the PM base</w:t>
      </w:r>
    </w:p>
    <w:p>
      <w:pPr>
        <w:pStyle w:val="Heading4"/>
      </w:pPr>
      <w:bookmarkStart w:id="70" w:name="applying-ltv-to-the-investigate-cluster"/>
      <w:r>
        <w:t xml:space="preserve">Applying LTV to the Investigate cluster</w:t>
      </w:r>
      <w:bookmarkEnd w:id="70"/>
    </w:p>
    <w:p>
      <w:pPr>
        <w:pStyle w:val="SourceCode"/>
      </w:pPr>
      <w:r>
        <w:rPr>
          <w:rStyle w:val="VerbatimChar"/>
        </w:rPr>
        <w:t xml:space="preserve">2,700 AEs defended (base case)</w:t>
      </w:r>
      <w:r>
        <w:br/>
      </w:r>
      <w:r>
        <w:rPr>
          <w:rStyle w:val="VerbatimChar"/>
        </w:rPr>
        <w:t xml:space="preserve">× $150 cross-platform LTV</w:t>
      </w:r>
      <w:r>
        <w:br/>
      </w:r>
      <w:r>
        <w:rPr>
          <w:rStyle w:val="VerbatimChar"/>
        </w:rPr>
        <w:t xml:space="preserve">= $300K of 3-year compounded LTV (baseline)</w:t>
      </w:r>
      <w:r>
        <w:br/>
      </w:r>
      <w:r>
        <w:br/>
      </w:r>
      <w:r>
        <w:rPr>
          <w:rStyle w:val="VerbatimChar"/>
        </w:rPr>
        <w:t xml:space="preserve">+ 20% Uber One conversion lift</w:t>
      </w:r>
      <w:r>
        <w:br/>
      </w:r>
      <w:r>
        <w:rPr>
          <w:rStyle w:val="VerbatimChar"/>
        </w:rPr>
        <w:t xml:space="preserve">× ($292 − $150) = $132 incremental sub LTV</w:t>
      </w:r>
      <w:r>
        <w:br/>
      </w:r>
      <w:r>
        <w:rPr>
          <w:rStyle w:val="VerbatimChar"/>
        </w:rPr>
        <w:t xml:space="preserve">× 20% × 2,700 = ~$53K additional from sub conversion</w:t>
      </w:r>
      <w:r>
        <w:br/>
      </w:r>
      <w:r>
        <w:rPr>
          <w:rStyle w:val="VerbatimChar"/>
        </w:rPr>
        <w:t xml:space="preserve">+ residual frequency lift on non-converters</w:t>
      </w:r>
      <w:r>
        <w:br/>
      </w:r>
      <w:r>
        <w:br/>
      </w:r>
      <w:r>
        <w:rPr>
          <w:rStyle w:val="VerbatimChar"/>
        </w:rPr>
        <w:t xml:space="preserve">→ ~$482K total 3-year LTV uplift across cluster (including Uber One)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outliers-anomalies"/>
      <w:r>
        <w:t xml:space="preserve">6. Outliers &amp; Anomalies</w:t>
      </w:r>
      <w:bookmarkEnd w:id="71"/>
    </w:p>
    <w:p>
      <w:pPr>
        <w:pStyle w:val="Heading3"/>
      </w:pPr>
      <w:bookmarkStart w:id="72" w:name="city-level-outliers-eda-9.3"/>
      <w:r>
        <w:t xml:space="preserve">6.1 City-level outliers (EDA §9.3)</w:t>
      </w:r>
      <w:bookmarkEnd w:id="72"/>
    </w:p>
    <w:p>
      <w:pPr>
        <w:pStyle w:val="Heading4"/>
      </w:pPr>
      <w:bookmarkStart w:id="73" w:name="aov-outliers"/>
      <w:r>
        <w:t xml:space="preserve">AOV outliers</w:t>
      </w:r>
      <w:bookmarkEnd w:id="7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Highest:</w:t>
      </w:r>
      <w:r>
        <w:t xml:space="preserve"> </w:t>
      </w:r>
      <w:r>
        <w:t xml:space="preserve">N3 (~NYC) PM AOV ≈ $44; reflects high-end NYC market mix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Lowest:</w:t>
      </w:r>
      <w:r>
        <w:t xml:space="preserve"> </w:t>
      </w:r>
      <w:r>
        <w:t xml:space="preserve">small-market cities with bias toward fast-food and budget options</w:t>
      </w:r>
    </w:p>
    <w:p>
      <w:pPr>
        <w:numPr>
          <w:ilvl w:val="0"/>
          <w:numId w:val="1019"/>
        </w:numPr>
        <w:pStyle w:val="Compact"/>
      </w:pPr>
      <w:r>
        <w:t xml:space="preserve">All AOV values within 1.5× IQR — no extreme outliers to exclude</w:t>
      </w:r>
    </w:p>
    <w:p>
      <w:pPr>
        <w:pStyle w:val="Heading4"/>
      </w:pPr>
      <w:bookmarkStart w:id="74" w:name="take-rate-outliers"/>
      <w:r>
        <w:t xml:space="preserve">Take rate outliers</w:t>
      </w:r>
      <w:bookmarkEnd w:id="74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U1 — implied negative PM take rate (~−0.5%)</w:t>
      </w:r>
    </w:p>
    <w:p>
      <w:pPr>
        <w:numPr>
          <w:ilvl w:val="1"/>
          <w:numId w:val="1021"/>
        </w:numPr>
        <w:pStyle w:val="Compact"/>
      </w:pPr>
      <w:r>
        <w:t xml:space="preserve">Anomalous; likely reflects PM-side promo subsidization exceeding gross commission in that single city/month</w:t>
      </w:r>
    </w:p>
    <w:p>
      <w:pPr>
        <w:numPr>
          <w:ilvl w:val="1"/>
          <w:numId w:val="1021"/>
        </w:numPr>
        <w:pStyle w:val="Compact"/>
      </w:pPr>
      <w:r>
        <w:t xml:space="preserve">Treated as a localized anomaly, not propagated into aggregate calculations</w:t>
      </w:r>
    </w:p>
    <w:p>
      <w:pPr>
        <w:pStyle w:val="Heading4"/>
      </w:pPr>
      <w:bookmarkStart w:id="75" w:name="pm-share-outlier-l2-la"/>
      <w:r>
        <w:t xml:space="preserve">PM share outlier — L2 (LA)</w:t>
      </w:r>
      <w:bookmarkEnd w:id="75"/>
    </w:p>
    <w:p>
      <w:pPr>
        <w:numPr>
          <w:ilvl w:val="0"/>
          <w:numId w:val="1022"/>
        </w:numPr>
        <w:pStyle w:val="Compact"/>
      </w:pPr>
      <w:r>
        <w:t xml:space="preserve">LA PM share of</w:t>
      </w:r>
      <w:r>
        <w:t xml:space="preserve"> </w:t>
      </w:r>
      <w:r>
        <w:rPr>
          <w:b/>
        </w:rPr>
        <w:t xml:space="preserve">35.6%</w:t>
      </w:r>
      <w:r>
        <w:t xml:space="preserve"> </w:t>
      </w:r>
      <w:r>
        <w:t xml:space="preserve">is far above any other city (next-highest: I1 at ~22%, V1 at ~31%)</w:t>
      </w:r>
    </w:p>
    <w:p>
      <w:pPr>
        <w:numPr>
          <w:ilvl w:val="0"/>
          <w:numId w:val="1022"/>
        </w:numPr>
        <w:pStyle w:val="Compact"/>
      </w:pPr>
      <w:r>
        <w:t xml:space="preserve">LA is</w:t>
      </w:r>
      <w:r>
        <w:t xml:space="preserve"> </w:t>
      </w:r>
      <w:r>
        <w:rPr>
          <w:b/>
        </w:rPr>
        <w:t xml:space="preserve">the</w:t>
      </w:r>
      <w:r>
        <w:t xml:space="preserve"> </w:t>
      </w:r>
      <w:r>
        <w:t xml:space="preserve">stronghold city — Postmates’ origin market</w:t>
      </w:r>
    </w:p>
    <w:p>
      <w:pPr>
        <w:numPr>
          <w:ilvl w:val="0"/>
          <w:numId w:val="1022"/>
        </w:numPr>
        <w:pStyle w:val="Compact"/>
      </w:pPr>
      <w:r>
        <w:t xml:space="preserve">Drives much of the Investigate-tier weight (46% of cluster GB decline)</w:t>
      </w:r>
    </w:p>
    <w:p>
      <w:pPr>
        <w:pStyle w:val="Heading4"/>
      </w:pPr>
      <w:bookmarkStart w:id="76" w:name="cities-with-extreme-yoy-swings"/>
      <w:r>
        <w:t xml:space="preserve">Cities with extreme YoY swings</w:t>
      </w:r>
      <w:bookmarkEnd w:id="76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U1</w:t>
      </w:r>
      <w:r>
        <w:t xml:space="preserve"> </w:t>
      </w:r>
      <w:r>
        <w:t xml:space="preserve">PM AE YoY: +34% (small absolute base, only 100s of AEs — noise sensitive)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N2</w:t>
      </w:r>
      <w:r>
        <w:t xml:space="preserve"> </w:t>
      </w:r>
      <w:r>
        <w:t xml:space="preserve">PM GB YoY: +65% (small PM base growing off a low denominator)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W1</w:t>
      </w:r>
      <w:r>
        <w:t xml:space="preserve"> </w:t>
      </w:r>
      <w:r>
        <w:t xml:space="preserve">PM GB YoY: −26% (largest absolute Leakage-tier city)</w:t>
      </w:r>
    </w:p>
    <w:p>
      <w:pPr>
        <w:pStyle w:val="Heading3"/>
      </w:pPr>
      <w:bookmarkStart w:id="77" w:name="time-series-anomalies-backup_queries-e"/>
      <w:r>
        <w:t xml:space="preserve">6.2 Time-series anomalies (backup_queries §E)</w:t>
      </w:r>
      <w:bookmarkEnd w:id="77"/>
    </w:p>
    <w:p>
      <w:pPr>
        <w:pStyle w:val="Heading4"/>
      </w:pPr>
      <w:bookmarkStart w:id="78" w:name="Xbc6dd1479d3d6977e9e4e33d1dd2846f89b5e92"/>
      <w:r>
        <w:t xml:space="preserve">Anomaly 1 — Nov 2022 PM dip while UE held flat</w:t>
      </w:r>
      <w:bookmarkEnd w:id="78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- PM GB Oct-22 → Nov-22: visible dip, MoM negative</w:t>
      </w:r>
      <w:r>
        <w:t xml:space="preserve"> </w:t>
      </w:r>
      <w:r>
        <w:t xml:space="preserve">- UE GB Oct-22 → Nov-22: roughly flat</w:t>
      </w:r>
    </w:p>
    <w:p>
      <w:pPr>
        <w:pStyle w:val="BodyText"/>
      </w:pPr>
      <w:r>
        <w:rPr>
          <w:b/>
        </w:rPr>
        <w:t xml:space="preserve">Hypotheses to test (require internal data):</w:t>
      </w:r>
      <w:r>
        <w:t xml:space="preserve"> </w:t>
      </w:r>
      <w:r>
        <w:t xml:space="preserve">1. PM-only promotional pull-back in November</w:t>
      </w:r>
      <w:r>
        <w:t xml:space="preserve"> </w:t>
      </w:r>
      <w:r>
        <w:t xml:space="preserve">2. DoorDash Black Friday / pre-Thanksgiving competitive campaign that hit PM disproportionately</w:t>
      </w:r>
      <w:r>
        <w:t xml:space="preserve"> </w:t>
      </w:r>
      <w:r>
        <w:t xml:space="preserve">3. Independent-restaurant SMB seasonal close-down (PM SMB tilt = 85% vs UE 79%) — Thanksgiving-week independent closures impact PM more</w:t>
      </w:r>
    </w:p>
    <w:p>
      <w:pPr>
        <w:pStyle w:val="BodyText"/>
      </w:pPr>
      <w:r>
        <w:rPr>
          <w:b/>
        </w:rPr>
        <w:t xml:space="preserve">Resolution:</w:t>
      </w:r>
      <w:r>
        <w:t xml:space="preserve"> </w:t>
      </w:r>
      <w:r>
        <w:t xml:space="preserve">Hypothesis-generating, not actionable from this dataset alone. Confirming would require internal promo calendars and DoorDash competitive intelligence.</w:t>
      </w:r>
    </w:p>
    <w:p>
      <w:pPr>
        <w:pStyle w:val="Heading4"/>
      </w:pPr>
      <w:bookmarkStart w:id="79" w:name="anomaly-2-feb-2023-dip-on-both-apps"/>
      <w:r>
        <w:t xml:space="preserve">Anomaly 2 — Feb 2023 dip on both apps</w:t>
      </w:r>
      <w:bookmarkEnd w:id="79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- Both PM and UE GB drop Jan→Feb 2023, roughly proportionally</w:t>
      </w:r>
    </w:p>
    <w:p>
      <w:pPr>
        <w:pStyle w:val="BodyText"/>
      </w:pPr>
      <w:r>
        <w:rPr>
          <w:b/>
        </w:rPr>
        <w:t xml:space="preserve">Likely explanations: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Calendar effect:</w:t>
      </w:r>
      <w:r>
        <w:t xml:space="preserve"> </w:t>
      </w:r>
      <w:r>
        <w:t xml:space="preserve">February has 28 days vs January’s 31 (~9.7% fewer days)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Post-holiday lull</w:t>
      </w:r>
      <w:r>
        <w:t xml:space="preserve"> </w:t>
      </w:r>
      <w:r>
        <w:t xml:space="preserve">— industry-normal Q1 contraction</w:t>
      </w:r>
      <w:r>
        <w:t xml:space="preserve"> </w:t>
      </w:r>
      <w:r>
        <w:t xml:space="preserve">3. To rule out: per-day-normalize and check if dip persists after adjustment</w:t>
      </w:r>
    </w:p>
    <w:p>
      <w:pPr>
        <w:pStyle w:val="BodyText"/>
      </w:pPr>
      <w:r>
        <w:rPr>
          <w:b/>
        </w:rPr>
        <w:t xml:space="preserve">Resolution:</w:t>
      </w:r>
      <w:r>
        <w:t xml:space="preserve"> </w:t>
      </w:r>
      <w:r>
        <w:t xml:space="preserve">Calendar effect. Once normalized by days-in-month, the dip largely disappears. Not a strategic anomaly.</w:t>
      </w:r>
    </w:p>
    <w:p>
      <w:pPr>
        <w:pStyle w:val="Heading4"/>
      </w:pPr>
      <w:bookmarkStart w:id="80" w:name="X66c9841fa398fa1d8feba0c78fe3a2c5dad9a3d"/>
      <w:r>
        <w:t xml:space="preserve">Anomaly 3 — Generic biggest MoM PM city dips</w:t>
      </w:r>
      <w:bookmarkEnd w:id="80"/>
    </w:p>
    <w:p>
      <w:pPr>
        <w:pStyle w:val="FirstParagraph"/>
      </w:pPr>
      <w:r>
        <w:rPr>
          <w:b/>
        </w:rPr>
        <w:t xml:space="preserve">Top 10 PM city-month dips (MoM GB %):</w:t>
      </w:r>
    </w:p>
    <w:p>
      <w:pPr>
        <w:pStyle w:val="BodyText"/>
      </w:pPr>
      <w:r>
        <w:t xml:space="preserve">Run the scan in</w:t>
      </w:r>
      <w:r>
        <w:t xml:space="preserve"> </w:t>
      </w:r>
      <w:r>
        <w:rPr>
          <w:rStyle w:val="VerbatimChar"/>
        </w:rPr>
        <w:t xml:space="preserve">backup_queries.ipynb</w:t>
      </w:r>
      <w:r>
        <w:t xml:space="preserve"> </w:t>
      </w:r>
      <w:r>
        <w:t xml:space="preserve">cell [16] to surface specific city-month combinations.</w:t>
      </w:r>
    </w:p>
    <w:p>
      <w:pPr>
        <w:pStyle w:val="BodyText"/>
      </w:pPr>
      <w:r>
        <w:rPr>
          <w:b/>
        </w:rPr>
        <w:t xml:space="preserve">Pattern:</w:t>
      </w:r>
      <w:r>
        <w:t xml:space="preserve"> </w:t>
      </w:r>
      <w:r>
        <w:t xml:space="preserve">most extreme MoM dips are in smaller cities where small absolute movements show as large percentages. Top-5 cities by absolute GB do not appear in the top-10 MoM-dip list — their trends are smoother.</w:t>
      </w:r>
    </w:p>
    <w:p>
      <w:pPr>
        <w:pStyle w:val="Heading3"/>
      </w:pPr>
      <w:bookmarkStart w:id="81" w:name="cross-app-correlation-anomalies"/>
      <w:r>
        <w:t xml:space="preserve">6.3 Cross-app correlation anomalies</w:t>
      </w:r>
      <w:bookmarkEnd w:id="81"/>
    </w:p>
    <w:p>
      <w:pPr>
        <w:pStyle w:val="Heading4"/>
      </w:pPr>
      <w:bookmarkStart w:id="82" w:name="X30dfbd618977bd9b6bd2118200694d32ef11be9"/>
      <w:r>
        <w:t xml:space="preserve">Cities where PM and UE move in opposite directions in the same month</w:t>
      </w:r>
      <w:bookmarkEnd w:id="82"/>
    </w:p>
    <w:p>
      <w:pPr>
        <w:pStyle w:val="FirstParagraph"/>
      </w:pPr>
      <w:r>
        <w:rPr>
          <w:b/>
        </w:rPr>
        <w:t xml:space="preserve">Investigate hypothesis: within-Uber substitution (PM → UE)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absorption ratio</w:t>
      </w:r>
      <w:r>
        <w:t xml:space="preserve">”</w:t>
      </w:r>
      <w:r>
        <w:t xml:space="preserve"> </w:t>
      </w:r>
      <w:r>
        <w:t xml:space="preserve">metric tests this:</w:t>
      </w:r>
    </w:p>
    <w:p>
      <w:pPr>
        <w:pStyle w:val="SourceCode"/>
      </w:pPr>
      <w:r>
        <w:rPr>
          <w:rStyle w:val="VerbatimChar"/>
        </w:rPr>
        <w:t xml:space="preserve">Absorption GB = UE GB gain / PM GB loss  (when both are positive)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Ratio &gt; 1:</w:t>
      </w:r>
      <w:r>
        <w:t xml:space="preserve"> </w:t>
      </w:r>
      <w:r>
        <w:t xml:space="preserve">UE gain exceeds PM loss → pattern consistent with within-Uber switching + organic UE growth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Ratio 0–1:</w:t>
      </w:r>
      <w:r>
        <w:t xml:space="preserve"> </w:t>
      </w:r>
      <w:r>
        <w:t xml:space="preserve">UE absorbed part of PM loss → some leakage to competitors suspected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Ratio &lt; 0:</w:t>
      </w:r>
      <w:r>
        <w:t xml:space="preserve"> </w:t>
      </w:r>
      <w:r>
        <w:t xml:space="preserve">UE also lost — double decline (both brands losing to DD)</w:t>
      </w:r>
    </w:p>
    <w:p>
      <w:pPr>
        <w:pStyle w:val="FirstParagraph"/>
      </w:pPr>
      <w:r>
        <w:rPr>
          <w:b/>
        </w:rPr>
        <w:t xml:space="preserve">Critical caveat:</w:t>
      </w:r>
      <w:r>
        <w:t xml:space="preserve"> </w:t>
      </w:r>
      <w:r>
        <w:t xml:space="preserve">correlation ≠ causation. The same numerical pattern arises if (a) PM users re-installed UE, OR (b) PM users left for DoorDash AND UE gained brand-new users from elsewhere.</w:t>
      </w:r>
      <w:r>
        <w:t xml:space="preserve"> </w:t>
      </w:r>
      <w:r>
        <w:rPr>
          <w:b/>
        </w:rPr>
        <w:t xml:space="preserve">We cannot distinguish without user-level cross-app data.</w:t>
      </w:r>
      <w:r>
        <w:t xml:space="preserve"> </w:t>
      </w:r>
      <w:r>
        <w:t xml:space="preserve">That’s why</w:t>
      </w:r>
      <w:r>
        <w:t xml:space="preserve"> </w:t>
      </w:r>
      <w:r>
        <w:t xml:space="preserve">“</w:t>
      </w:r>
      <w:r>
        <w:t xml:space="preserve">user-level cross-app join</w:t>
      </w:r>
      <w:r>
        <w:t xml:space="preserve">”</w:t>
      </w:r>
      <w:r>
        <w:t xml:space="preserve"> </w:t>
      </w:r>
      <w:r>
        <w:t xml:space="preserve">appears in the Data to Instrument slide (Slide 11).</w:t>
      </w:r>
    </w:p>
    <w:p>
      <w:pPr>
        <w:pStyle w:val="Heading4"/>
      </w:pPr>
      <w:bookmarkStart w:id="83" w:name="Xa186068def8dcf933e75d34d00df788ce2b1a53"/>
      <w:r>
        <w:t xml:space="preserve">Cities with negative absorption (double decline)</w:t>
      </w:r>
      <w:bookmarkEnd w:id="83"/>
    </w:p>
    <w:p>
      <w:pPr>
        <w:pStyle w:val="FirstParagraph"/>
      </w:pPr>
      <w:r>
        <w:t xml:space="preserve">These are the Leakage-quadrant cities where Uber is losing in both brands simultaneously. Top by absolute decline: W1, S4, S5.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assumptions-limitations"/>
      <w:r>
        <w:t xml:space="preserve">7. Assumptions &amp; Limitations</w:t>
      </w:r>
      <w:bookmarkEnd w:id="84"/>
    </w:p>
    <w:p>
      <w:pPr>
        <w:pStyle w:val="Heading3"/>
      </w:pPr>
      <w:bookmarkStart w:id="85" w:name="X4422eab8c8620aa2823b84464992f868a0e3ce4"/>
      <w:r>
        <w:t xml:space="preserve">7.1 Data limitations (acknowledged in the deck)</w:t>
      </w:r>
      <w:bookmarkEnd w:id="8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user-level data</w:t>
            </w:r>
          </w:p>
        </w:tc>
        <w:tc>
          <w:p>
            <w:pPr>
              <w:pStyle w:val="Compact"/>
              <w:jc w:val="left"/>
            </w:pPr>
            <w:r>
              <w:t xml:space="preserve">Can’t compute true cohort retention; rely on pool retention as proxy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cross-app join</w:t>
            </w:r>
          </w:p>
        </w:tc>
        <w:tc>
          <w:p>
            <w:pPr>
              <w:pStyle w:val="Compact"/>
              <w:jc w:val="left"/>
            </w:pPr>
            <w:r>
              <w:t xml:space="preserve">Can’t confirm whether PM users actually migrate to UE;</w:t>
            </w:r>
            <w:r>
              <w:t xml:space="preserve"> </w:t>
            </w:r>
            <w:r>
              <w:t xml:space="preserve">“</w:t>
            </w:r>
            <w:r>
              <w:t xml:space="preserve">absorption ratio</w:t>
            </w:r>
            <w:r>
              <w:t xml:space="preserve">”</w:t>
            </w:r>
            <w:r>
              <w:t xml:space="preserve"> </w:t>
            </w:r>
            <w:r>
              <w:t xml:space="preserve">only suggests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 months only</w:t>
            </w:r>
          </w:p>
        </w:tc>
        <w:tc>
          <w:p>
            <w:pPr>
              <w:pStyle w:val="Compact"/>
              <w:jc w:val="left"/>
            </w:pPr>
            <w:r>
              <w:t xml:space="preserve">YoY computed from single-month Jun-22 vs Jun-23; no multi-year trend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City IDs anonymized</w:t>
            </w:r>
          </w:p>
        </w:tc>
        <w:tc>
          <w:p>
            <w:pPr>
              <w:pStyle w:val="Compact"/>
              <w:jc w:val="left"/>
            </w:pPr>
            <w:r>
              <w:t xml:space="preserve">L2 ≈ LA and V1 ≈ Vegas inferred from PM share + hiring manager hint; others illustrative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CAC data beyond promotional incentives</w:t>
            </w:r>
          </w:p>
        </w:tc>
        <w:tc>
          <w:p>
            <w:pPr>
              <w:pStyle w:val="Compact"/>
              <w:jc w:val="left"/>
            </w:pPr>
            <w:r>
              <w:t xml:space="preserve">Total CAC (paid ads, brand marketing) not in dataset; promotional CAC is a partial view</w:t>
            </w:r>
          </w:p>
        </w:tc>
      </w:tr>
    </w:tbl>
    <w:p>
      <w:pPr>
        <w:pStyle w:val="Heading3"/>
      </w:pPr>
      <w:bookmarkStart w:id="86" w:name="modeling-assumptions"/>
      <w:r>
        <w:t xml:space="preserve">7.2 Modeling assumptions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applies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11% industry baseline as healthy/unhealthy threshold</w:t>
            </w:r>
          </w:p>
        </w:tc>
        <w:tc>
          <w:p>
            <w:pPr>
              <w:pStyle w:val="Compact"/>
              <w:jc w:val="left"/>
            </w:pPr>
            <w:r>
              <w:t xml:space="preserve">Quadrant + DIM</w:t>
            </w:r>
          </w:p>
        </w:tc>
        <w:tc>
          <w:p>
            <w:pPr>
              <w:pStyle w:val="Compact"/>
              <w:jc w:val="left"/>
            </w:pPr>
            <w:r>
              <w:t xml:space="preserve">Bloomberg Second Measure 2022–23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20% and 5% PM share thresholds</w:t>
            </w:r>
          </w:p>
        </w:tc>
        <w:tc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p>
            <w:pPr>
              <w:pStyle w:val="Compact"/>
              <w:jc w:val="left"/>
            </w:pPr>
            <w:r>
              <w:t xml:space="preserve">20% ≈ 2× national stronghold; 5% = minimum viable presence (sensitivity-tested)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$1.42M LA decline = single-month gap × 12</w:t>
            </w:r>
          </w:p>
        </w:tc>
        <w:tc>
          <w:p>
            <w:pPr>
              <w:pStyle w:val="Compact"/>
              <w:jc w:val="left"/>
            </w:pPr>
            <w:r>
              <w:t xml:space="preserve">Size of prize</w:t>
            </w:r>
          </w:p>
        </w:tc>
        <w:tc>
          <w:p>
            <w:pPr>
              <w:pStyle w:val="Compact"/>
              <w:jc w:val="left"/>
            </w:pPr>
            <w:r>
              <w:t xml:space="preserve">Controls for seasonality; alt methods bracket the uncertainty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lift 1pp / 2pp / 3pp scenarios</w:t>
            </w:r>
          </w:p>
        </w:tc>
        <w:tc>
          <w:p>
            <w:pPr>
              <w:pStyle w:val="Compact"/>
              <w:jc w:val="left"/>
            </w:pPr>
            <w:r>
              <w:t xml:space="preserve">Size of prize</w:t>
            </w:r>
          </w:p>
        </w:tc>
        <w:tc>
          <w:p>
            <w:pPr>
              <w:pStyle w:val="Compact"/>
              <w:jc w:val="left"/>
            </w:pPr>
            <w:r>
              <w:t xml:space="preserve">Industry pilots typically deliver 1–4pp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+3pp = 100% pool retention defense</w:t>
            </w:r>
          </w:p>
        </w:tc>
        <w:tc>
          <w:p>
            <w:pPr>
              <w:pStyle w:val="Compact"/>
              <w:jc w:val="left"/>
            </w:pPr>
            <w:r>
              <w:t xml:space="preserve">Size of prize</w:t>
            </w:r>
          </w:p>
        </w:tc>
        <w:tc>
          <w:p>
            <w:pPr>
              <w:pStyle w:val="Compact"/>
              <w:jc w:val="left"/>
            </w:pPr>
            <w:r>
              <w:t xml:space="preserve">Mathematically tight (97% baseline + 3pp = 100% ceiling); treated as upper bound, not guaranteed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$150 cross-platform LTV</w:t>
            </w:r>
          </w:p>
        </w:tc>
        <w:tc>
          <w:p>
            <w:pPr>
              <w:pStyle w:val="Compact"/>
              <w:jc w:val="left"/>
            </w:pPr>
            <w:r>
              <w:t xml:space="preserve">Multiply</w:t>
            </w:r>
          </w:p>
        </w:tc>
        <w:tc>
          <w:p>
            <w:pPr>
              <w:pStyle w:val="Compact"/>
              <w:jc w:val="left"/>
            </w:pPr>
            <w:r>
              <w:t xml:space="preserve">Assumes attribution from PM-acquired to Eats/Rides/Sub via Uber ecosystem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1.8× sub frequency lift</w:t>
            </w:r>
          </w:p>
        </w:tc>
        <w:tc>
          <w:p>
            <w:pPr>
              <w:pStyle w:val="Compact"/>
              <w:jc w:val="left"/>
            </w:pPr>
            <w:r>
              <w:t xml:space="preserve">Multiply</w:t>
            </w:r>
          </w:p>
        </w:tc>
        <w:tc>
          <w:p>
            <w:pPr>
              <w:pStyle w:val="Compact"/>
              <w:jc w:val="left"/>
            </w:pPr>
            <w:r>
              <w:t xml:space="preserve">DashPass benchmark (industry proxy) — to be replaced with PM-specific measurement (per Slide 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12% current Uber One PM penetration</w:t>
            </w:r>
          </w:p>
        </w:tc>
        <w:tc>
          <w:p>
            <w:pPr>
              <w:pStyle w:val="Compact"/>
              <w:jc w:val="left"/>
            </w:pPr>
            <w:r>
              <w:t xml:space="preserve">Multiply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case sub revenue ÷ subscribers ÷ $9.99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40% DashPass benchmark for headroom</w:t>
            </w:r>
          </w:p>
        </w:tc>
        <w:tc>
          <w:p>
            <w:pPr>
              <w:pStyle w:val="Compact"/>
              <w:jc w:val="left"/>
            </w:pPr>
            <w:r>
              <w:t xml:space="preserve">Multiply</w:t>
            </w:r>
          </w:p>
        </w:tc>
        <w:tc>
          <w:p>
            <w:pPr>
              <w:pStyle w:val="Compact"/>
              <w:jc w:val="left"/>
            </w:pPr>
            <w:r>
              <w:t xml:space="preserve">External market data (Bloomberg / Earnest 2023)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20% A/B holdout in pilot</w:t>
            </w:r>
          </w:p>
        </w:tc>
        <w:tc>
          <w:p>
            <w:pPr>
              <w:pStyle w:val="Compact"/>
              <w:jc w:val="left"/>
            </w:pPr>
            <w:r>
              <w:t xml:space="preserve">Engine / Project</w:t>
            </w:r>
          </w:p>
        </w:tc>
        <w:tc>
          <w:p>
            <w:pPr>
              <w:pStyle w:val="Compact"/>
              <w:jc w:val="left"/>
            </w:pPr>
            <w:r>
              <w:t xml:space="preserve">Standard industry practice for causal lift measurement</w:t>
            </w:r>
          </w:p>
        </w:tc>
      </w:tr>
    </w:tbl>
    <w:p>
      <w:pPr>
        <w:pStyle w:val="Heading3"/>
      </w:pPr>
      <w:bookmarkStart w:id="87" w:name="inferences-vs.-measurements"/>
      <w:r>
        <w:t xml:space="preserve">7.3 Inferences vs. measurements</w:t>
      </w:r>
      <w:bookmarkEnd w:id="87"/>
    </w:p>
    <w:p>
      <w:pPr>
        <w:pStyle w:val="FirstParagraph"/>
      </w:pPr>
      <w:r>
        <w:rPr>
          <w:b/>
        </w:rPr>
        <w:t xml:space="preserve">Pure measurements (from case data):</w:t>
      </w:r>
      <w:r>
        <w:t xml:space="preserve"> </w:t>
      </w:r>
      <w:r>
        <w:t xml:space="preserve">- All GB / NR / AE / NE counts and ratios</w:t>
      </w:r>
      <w:r>
        <w:t xml:space="preserve"> </w:t>
      </w:r>
      <w:r>
        <w:t xml:space="preserve">- All YoY computations</w:t>
      </w:r>
      <w:r>
        <w:t xml:space="preserve"> </w:t>
      </w:r>
      <w:r>
        <w:t xml:space="preserve">- City-level tier assignments</w:t>
      </w:r>
    </w:p>
    <w:p>
      <w:pPr>
        <w:pStyle w:val="BodyText"/>
      </w:pPr>
      <w:r>
        <w:rPr>
          <w:b/>
        </w:rPr>
        <w:t xml:space="preserve">Inferences requiring external data or assumptions:</w:t>
      </w:r>
      <w:r>
        <w:t xml:space="preserve"> </w:t>
      </w:r>
      <w:r>
        <w:t xml:space="preserve">- 11% industry baseline (external)</w:t>
      </w:r>
      <w:r>
        <w:t xml:space="preserve"> </w:t>
      </w:r>
      <w:r>
        <w:t xml:space="preserve">- Sub frequency lift 1.8× (external benchmark)</w:t>
      </w:r>
      <w:r>
        <w:t xml:space="preserve"> </w:t>
      </w:r>
      <w:r>
        <w:t xml:space="preserve">- DashPass 40% penetration (external benchmark)</w:t>
      </w:r>
      <w:r>
        <w:t xml:space="preserve"> </w:t>
      </w:r>
      <w:r>
        <w:t xml:space="preserve">- PM brand permission for late-night /</w:t>
      </w:r>
      <w:r>
        <w:t xml:space="preserve"> </w:t>
      </w:r>
      <w:r>
        <w:t xml:space="preserve">“</w:t>
      </w:r>
      <w:r>
        <w:t xml:space="preserve">Anything</w:t>
      </w:r>
      <w:r>
        <w:t xml:space="preserve">”</w:t>
      </w:r>
      <w:r>
        <w:t xml:space="preserve"> </w:t>
      </w:r>
      <w:r>
        <w:t xml:space="preserve">occasions (brand history, not statistically measured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validation-steps"/>
      <w:r>
        <w:t xml:space="preserve">8. Validation Steps</w:t>
      </w:r>
      <w:bookmarkEnd w:id="88"/>
    </w:p>
    <w:p>
      <w:pPr>
        <w:pStyle w:val="Heading3"/>
      </w:pPr>
      <w:bookmarkStart w:id="89" w:name="sensitivity-tests-run"/>
      <w:r>
        <w:t xml:space="preserve">8.1 Sensitivity tests run</w:t>
      </w:r>
      <w:bookmarkEnd w:id="89"/>
    </w:p>
    <w:p>
      <w:pPr>
        <w:pStyle w:val="FirstParagraph"/>
      </w:pPr>
      <w:r>
        <w:rPr>
          <w:b/>
        </w:rPr>
        <w:t xml:space="preserve">DIM tier robustness</w:t>
      </w:r>
      <w:r>
        <w:t xml:space="preserve"> </w:t>
      </w:r>
      <w:r>
        <w:t xml:space="preserve">(backup_queries.ipynb §B):</w:t>
      </w:r>
      <w:r>
        <w:t xml:space="preserve"> </w:t>
      </w:r>
      <w:r>
        <w:t xml:space="preserve">- Tested defend_share threshold from 15% to 25%</w:t>
      </w:r>
      <w:r>
        <w:t xml:space="preserve"> </w:t>
      </w:r>
      <w:r>
        <w:t xml:space="preserve">- Tested investigate_share threshold from 3% to 7%</w:t>
      </w:r>
      <w:r>
        <w:t xml:space="preserve"> </w:t>
      </w:r>
      <w:r>
        <w:t xml:space="preserve">- Top-tier cities (L1, C1 in Defend; L2, V1 in Investigate) remain in their tiers across all reasonable variations</w:t>
      </w:r>
    </w:p>
    <w:p>
      <w:pPr>
        <w:pStyle w:val="BodyText"/>
      </w:pPr>
      <w:r>
        <w:rPr>
          <w:b/>
        </w:rPr>
        <w:t xml:space="preserve">Scenario parameter robustness</w:t>
      </w:r>
      <w:r>
        <w:t xml:space="preserve"> </w:t>
      </w:r>
      <w:r>
        <w:t xml:space="preserve">(backup_queries.ipynb §C):</w:t>
      </w:r>
      <w:r>
        <w:t xml:space="preserve"> </w:t>
      </w:r>
      <w:r>
        <w:t xml:space="preserve">- Tested retention lift from 0.5pp to 5pp</w:t>
      </w:r>
      <w:r>
        <w:t xml:space="preserve"> </w:t>
      </w:r>
      <w:r>
        <w:t xml:space="preserve">- Tested horizon from 6 months to 24 months</w:t>
      </w:r>
      <w:r>
        <w:t xml:space="preserve"> </w:t>
      </w:r>
      <w:r>
        <w:t xml:space="preserve">- Conclusion: Base case (+2pp, 87% arrest) is the median outcome; tails (1pp / 3pp) bracket meaningful range</w:t>
      </w:r>
    </w:p>
    <w:p>
      <w:pPr>
        <w:pStyle w:val="Heading3"/>
      </w:pPr>
      <w:bookmarkStart w:id="90" w:name="cross-checks-against-industry-data"/>
      <w:r>
        <w:t xml:space="preserve">8.2 Cross-checks against industry data</w:t>
      </w:r>
      <w:bookmarkEnd w:id="90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11% baseline</w:t>
      </w:r>
      <w:r>
        <w:t xml:space="preserve"> </w:t>
      </w:r>
      <w:r>
        <w:t xml:space="preserve">validated against Bloomberg Second Measure US food delivery 2022–23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PM AOV +12% premium</w:t>
      </w:r>
      <w:r>
        <w:t xml:space="preserve"> </w:t>
      </w:r>
      <w:r>
        <w:t xml:space="preserve">validated across 41 of 44 cities (not just aggregate)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DD vs Uber 65/24 split</w:t>
      </w:r>
      <w:r>
        <w:t xml:space="preserve"> </w:t>
      </w:r>
      <w:r>
        <w:t xml:space="preserve">matches Statista 2023 and Earnest Analytics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Caviar parallel</w:t>
      </w:r>
      <w:r>
        <w:t xml:space="preserve"> </w:t>
      </w:r>
      <w:r>
        <w:t xml:space="preserve">sourced from DoorDash public 10-K + brand history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Multi-home 60% + UE/DD overlap 77%</w:t>
      </w:r>
      <w:r>
        <w:t xml:space="preserve"> </w:t>
      </w:r>
      <w:r>
        <w:t xml:space="preserve">sourced from CivicScience and Earnest Analytics</w:t>
      </w:r>
    </w:p>
    <w:p>
      <w:pPr>
        <w:pStyle w:val="Heading3"/>
      </w:pPr>
      <w:bookmarkStart w:id="91" w:name="internal-consistency-checks"/>
      <w:r>
        <w:t xml:space="preserve">8.3 Internal consistency checks</w:t>
      </w:r>
      <w:bookmarkEnd w:id="91"/>
    </w:p>
    <w:p>
      <w:pPr>
        <w:numPr>
          <w:ilvl w:val="0"/>
          <w:numId w:val="1026"/>
        </w:numPr>
        <w:pStyle w:val="Compact"/>
      </w:pPr>
      <w:r>
        <w:t xml:space="preserve">Tax-corrected income-statement reconciliation in EDA §8 (waterfall matches)</w:t>
      </w:r>
    </w:p>
    <w:p>
      <w:pPr>
        <w:numPr>
          <w:ilvl w:val="0"/>
          <w:numId w:val="1026"/>
        </w:numPr>
        <w:pStyle w:val="Compact"/>
      </w:pPr>
      <w:r>
        <w:t xml:space="preserve">Cross-platform LTV ($150) &gt; Narrow LTV ($114) confirms attribution math is directionally consistent</w:t>
      </w:r>
    </w:p>
    <w:p>
      <w:pPr>
        <w:numPr>
          <w:ilvl w:val="0"/>
          <w:numId w:val="1026"/>
        </w:numPr>
        <w:pStyle w:val="Compact"/>
      </w:pPr>
      <w:r>
        <w:t xml:space="preserve">Cluster scaling (×3 cities count + LA = 14) preserves take rate proportionality</w:t>
      </w:r>
    </w:p>
    <w:p>
      <w:pPr>
        <w:numPr>
          <w:ilvl w:val="0"/>
          <w:numId w:val="1026"/>
        </w:numPr>
        <w:pStyle w:val="Compact"/>
      </w:pPr>
      <w:r>
        <w:t xml:space="preserve">Active Eater counts reconcile to monthly trips at implied frequency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appendix-supporting-files"/>
      <w:r>
        <w:t xml:space="preserve">Appendix — Supporting Files</w:t>
      </w:r>
      <w:bookmarkEnd w:id="9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Postmates_Case_Deck.pptx</w:t>
            </w:r>
          </w:p>
        </w:tc>
        <w:tc>
          <w:p>
            <w:pPr>
              <w:pStyle w:val="Compact"/>
              <w:jc w:val="left"/>
            </w:pPr>
            <w:r>
              <w:t xml:space="preserve">Case presentation deck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ltv_calculator.html</w:t>
            </w:r>
          </w:p>
        </w:tc>
        <w:tc>
          <w:p>
            <w:pPr>
              <w:pStyle w:val="Compact"/>
              <w:jc w:val="left"/>
            </w:pPr>
            <w:r>
              <w:t xml:space="preserve">Interactive LTV model (user + merchant sides)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city_dashboard.html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Interactive city-level explorer (4-quadrant + DIM tier views, sortable detail table)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postmates_eda.ipynb</w:t>
            </w:r>
          </w:p>
        </w:tc>
        <w:tc>
          <w:p>
            <w:pPr>
              <w:pStyle w:val="Compact"/>
              <w:jc w:val="left"/>
            </w:pPr>
            <w:r>
              <w:t xml:space="preserve">Full exploratory data analysis (21 sections)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city_yoy.csv</w:t>
            </w:r>
          </w:p>
        </w:tc>
        <w:tc>
          <w:p>
            <w:pPr>
              <w:pStyle w:val="Compact"/>
              <w:jc w:val="left"/>
            </w:pPr>
            <w:r>
              <w:t xml:space="preserve">Per-city year-over-year summary (44 rows, 28 columns)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postmates_clean_long.csv</w:t>
            </w:r>
          </w:p>
        </w:tc>
        <w:tc>
          <w:p>
            <w:pPr>
              <w:pStyle w:val="Compact"/>
              <w:jc w:val="left"/>
            </w:pPr>
            <w:r>
              <w:t xml:space="preserve">Cleaned long-format transaction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2026-05-14T01:45:50Z</dcterms:created>
  <dcterms:modified xsi:type="dcterms:W3CDTF">2026-05-14T01:45:50Z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