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&lt;|artifact_id|&gt;vanke-investment-summary-20251130&lt;/|artifact_id|&gt;</w:t>
      </w:r>
    </w:p>
    <w:p/>
    <w:p>
      <w:r>
        <w:t>&lt;|title|&gt;[China Vanke Co Ltd] Investment Summary.md&lt;/|title|&gt;</w:t>
      </w:r>
    </w:p>
    <w:p/>
    <w:p>
      <w:r>
        <w:t>&lt;|contentType|&gt;text/markdown&lt;/|contentType|&gt;</w:t>
      </w:r>
    </w:p>
    <w:p/>
    <w:p>
      <w:pPr>
        <w:pStyle w:val="Heading1"/>
      </w:pPr>
      <w:r>
        <w:t>Investment Summary: China Vanke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5.38 CNY</w:t>
      </w:r>
    </w:p>
    <w:p>
      <w:r>
        <w:rPr>
          <w:b/>
        </w:rPr>
        <w:t>Market Cap:</w:t>
      </w:r>
      <w:r>
        <w:t xml:space="preserve"> 64.19B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Real Estate Development and Property Services</w:t>
      </w:r>
    </w:p>
    <w:p/>
    <w:p>
      <w:pPr>
        <w:pStyle w:val="Heading2"/>
      </w:pPr>
      <w:r>
        <w:t>Business Overview</w:t>
      </w:r>
    </w:p>
    <w:p>
      <w:r>
        <w:t>China Vanke Co Ltd is a leading Chinese real estate developer, focusing on residential and commercial property development, property management services, and investment properties. Major divisions include Property Development (80% of sales, 25% gross margin, 75% of group profits), Property Services (15% of sales, 18% gross margin, 20% of group profits), and Others (5% of sales). Key financials for FY2024 (fiscal year-end Dec 31): sales 350B CNY, operating income 25B CNY, margins at 7%. Property Development provides housing and commercial spaces to urban buyers, enabling affordable living and business operations; Property Services offers maintenance and community management, enhancing resident satisfaction and property value. Strengths include strong brand equity and operational scale in China's urban markets; challenges involve regulatory pressures and market slowdowns in real estate.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 xml:space="preserve">(a) Sales growth: -5% CAGR past 5 years; forecast +2% next year.  </w:t>
      </w:r>
    </w:p>
    <w:p>
      <w:pPr>
        <w:pStyle w:val="ListBullet"/>
      </w:pPr>
      <w:r>
        <w:t xml:space="preserve">(b) Profit growth: -8% CAGR past 5 years; forecast +3% next year.  </w:t>
      </w:r>
    </w:p>
    <w:p>
      <w:pPr>
        <w:pStyle w:val="ListBullet"/>
      </w:pPr>
      <w:r>
        <w:t xml:space="preserve">(c) Operating cash flow: +10% increase in FY2024.  </w:t>
      </w:r>
    </w:p>
    <w:p>
      <w:pPr>
        <w:pStyle w:val="ListBullet"/>
      </w:pPr>
      <w:r>
        <w:t xml:space="preserve">(d) Market share: ~4% in Chinese real estate, ranked #2.  </w:t>
      </w:r>
    </w:p>
    <w:p/>
    <w:p>
      <w:pPr>
        <w:pStyle w:val="Heading2"/>
      </w:pPr>
      <w:r>
        <w:t>Industry Context</w:t>
      </w:r>
    </w:p>
    <w:p>
      <w:r>
        <w:t>For Real Estate Development:</w:t>
      </w:r>
    </w:p>
    <w:p>
      <w:pPr>
        <w:pStyle w:val="ListBullet"/>
      </w:pPr>
      <w:r>
        <w:t xml:space="preserve">(a) Mature product cycle with slowing growth.  </w:t>
      </w:r>
    </w:p>
    <w:p>
      <w:pPr>
        <w:pStyle w:val="ListBullet"/>
      </w:pPr>
      <w:r>
        <w:t xml:space="preserve">(b) Market size 15T CNY, CAGR -3% (2022-2025).  </w:t>
      </w:r>
    </w:p>
    <w:p>
      <w:pPr>
        <w:pStyle w:val="ListBullet"/>
      </w:pPr>
      <w:r>
        <w:t xml:space="preserve">(c) Vanke's share ~4%, ranked #2.  </w:t>
      </w:r>
    </w:p>
    <w:p>
      <w:pPr>
        <w:pStyle w:val="ListBullet"/>
      </w:pPr>
      <w:r>
        <w:t xml:space="preserve">(d) Avg sales growth: Vanke -4% vs. industry -5%.  </w:t>
      </w:r>
    </w:p>
    <w:p>
      <w:pPr>
        <w:pStyle w:val="ListBullet"/>
      </w:pPr>
      <w:r>
        <w:t xml:space="preserve">(e) Avg EPS growth: Vanke -6% vs. industry -7%.  </w:t>
      </w:r>
    </w:p>
    <w:p>
      <w:pPr>
        <w:pStyle w:val="ListBullet"/>
      </w:pPr>
      <w:r>
        <w:t xml:space="preserve">(f) Debt-to-assets: Vanke 0.65 vs. industry 0.60.  </w:t>
      </w:r>
    </w:p>
    <w:p>
      <w:pPr>
        <w:pStyle w:val="ListBullet"/>
      </w:pPr>
      <w:r>
        <w:t xml:space="preserve">(g) Industry in slowdown phase due to regulatory tightening.  </w:t>
      </w:r>
    </w:p>
    <w:p>
      <w:pPr>
        <w:pStyle w:val="ListBullet"/>
      </w:pPr>
      <w:r>
        <w:t xml:space="preserve">(h) Metrics: Land bank size (Vanke 100M sqm vs. avg 80M); Contracted sales growth (Vanke -2% vs. avg -3%); Pre-sales ratio (Vanke 70% vs. avg 65%) – Vanke outperforms slightly.  </w:t>
      </w:r>
    </w:p>
    <w:p/>
    <w:p>
      <w:r>
        <w:t>For Property Services: Similar metrics, industry expanding at 5% CAGR.</w:t>
      </w:r>
    </w:p>
    <w:p/>
    <w:p>
      <w:pPr>
        <w:pStyle w:val="Heading2"/>
      </w:pPr>
      <w:r>
        <w:t>Financial Stability and Debt Levels</w:t>
      </w:r>
    </w:p>
    <w:p>
      <w:r>
        <w:t>Vanke maintains moderate financial stability with FY2024 operating cash flow of 40B CNY, covering dividends (yield 4%) and capex (15B CNY). Liquidity is adequate with cash on hand 50B CNY and current ratio 1.4 (above 1.3 threshold, though not a pure cash business). Debt totals 300B CNY, debt-to-equity 1.2 (vs. industry 1.0), debt-to-assets 0.65 (above avg), interest coverage 3x, Altman Z-Score 2.5 (distress zone edge). High leverage poses risks amid market downturns, but prudent management via asset sales mitigates concerns.</w:t>
      </w:r>
    </w:p>
    <w:p/>
    <w:p>
      <w:pPr>
        <w:pStyle w:val="Heading2"/>
      </w:pPr>
      <w:r>
        <w:t>Key Financials and Valuation</w:t>
      </w:r>
    </w:p>
    <w:p>
      <w:r>
        <w:rPr>
          <w:b/>
        </w:rPr>
        <w:t>Sales and Profitability:</w:t>
      </w:r>
    </w:p>
    <w:p>
      <w:pPr>
        <w:pStyle w:val="ListBullet"/>
      </w:pPr>
      <w:r>
        <w:t xml:space="preserve">(a) FY2024 sales 350B CNY (-5% YoY); forecast 357B CNY (+2%).  </w:t>
      </w:r>
    </w:p>
    <w:p>
      <w:pPr>
        <w:pStyle w:val="ListBullet"/>
      </w:pPr>
      <w:r>
        <w:t xml:space="preserve">(b) Property Dev: 280B CNY (-6%), margin 7%; Prop Services: 52B CNY (+3%), margin 5%.  </w:t>
      </w:r>
    </w:p>
    <w:p>
      <w:pPr>
        <w:pStyle w:val="ListBullet"/>
      </w:pPr>
      <w:r>
        <w:t xml:space="preserve">(c) Group op margin 7% (trending down); guidance: sales +2%, EPS 0.50 CNY (+5% YoY).  </w:t>
      </w:r>
    </w:p>
    <w:p/>
    <w:p>
      <w:r>
        <w:rPr>
          <w:b/>
        </w:rPr>
        <w:t>Valuation Metrics:</w:t>
      </w:r>
    </w:p>
    <w:p>
      <w:pPr>
        <w:pStyle w:val="ListBullet"/>
      </w:pPr>
      <w:r>
        <w:t xml:space="preserve">P/E TTM 10x (vs. industry 12x, historical 15x); PEG 1.5; dividend yield 4%; stock at 40% of 52-week high.  </w:t>
      </w:r>
    </w:p>
    <w:p/>
    <w:p>
      <w:r>
        <w:rPr>
          <w:b/>
        </w:rPr>
        <w:t>Financial Stability and Debt Levels:</w:t>
      </w:r>
      <w:r>
        <w:t xml:space="preserve"> (See prior section; risks include high debt amid slowdown).</w:t>
      </w:r>
    </w:p>
    <w:p/>
    <w:p>
      <w:r>
        <w:rPr>
          <w:b/>
        </w:rPr>
        <w:t>Industry Specific Metrics:</w:t>
      </w:r>
    </w:p>
    <w:p>
      <w:pPr>
        <w:pStyle w:val="ListBullet"/>
      </w:pPr>
      <w:r>
        <w:t xml:space="preserve">Land acquisition cost/sqm: Vanke 5,000 CNY vs. industry 5,500 (better efficiency).  </w:t>
      </w:r>
    </w:p>
    <w:p>
      <w:pPr>
        <w:pStyle w:val="ListBullet"/>
      </w:pPr>
      <w:r>
        <w:t xml:space="preserve">Sell-through rate: Vanke 85% vs. 80% (stronger demand).  </w:t>
      </w:r>
    </w:p>
    <w:p>
      <w:pPr>
        <w:pStyle w:val="ListBullet"/>
      </w:pPr>
      <w:r>
        <w:t>GFA under development: Vanke 150M sqm vs. 120M (scale advantage). Observations: Vanke excels in efficiency and scale, implying resilience but exposure to policy risks.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 xml:space="preserve">Trend: China's property market regulation (e.g., debt caps) – generally pressures developers with high leverage; Vanke faces tighter funding but benefits from state support as a leader.  </w:t>
      </w:r>
    </w:p>
    <w:p>
      <w:pPr>
        <w:pStyle w:val="ListBullet"/>
      </w:pPr>
      <w:r>
        <w:t xml:space="preserve">Event: 2025 economic stimulus – boosts demand; Vanke's urban focus could see +5% sales uplift vs. industry +3%.  </w:t>
      </w:r>
    </w:p>
    <w:p>
      <w:pPr>
        <w:pStyle w:val="ListBullet"/>
      </w:pPr>
      <w:r>
        <w:t>For Property Services: Digitalization trend – enhances efficiency; Vanke's tech integration positions it ahead.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 xml:space="preserve">Major Segments: Residential buyers (70%, 245B CNY), Commercial (20%, 70B CNY), Services (10%, 35B CNY).  </w:t>
      </w:r>
    </w:p>
    <w:p>
      <w:pPr>
        <w:pStyle w:val="ListBullet"/>
      </w:pPr>
      <w:r>
        <w:t xml:space="preserve">Forecast: Residential +1% (urbanization driver); Commercial +3% (office recovery); Services +5% (community tech).  </w:t>
      </w:r>
    </w:p>
    <w:p>
      <w:pPr>
        <w:pStyle w:val="ListBullet"/>
      </w:pPr>
      <w:r>
        <w:t xml:space="preserve">Criticisms: High prices lead to affordability complaints; substitutes like rentals switch quickly (6 months).  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 xml:space="preserve">Industry Dynamics: High concentration (CR4 20%), margins 6-8%, utilization 70%, CAGR -3%, slowdown stage.  </w:t>
      </w:r>
    </w:p>
    <w:p>
      <w:pPr>
        <w:pStyle w:val="ListBullet"/>
      </w:pPr>
      <w:r>
        <w:t xml:space="preserve">Key Competitors: Evergrande (share 3%, margin 5%); Country Garden (5%, 7%).  </w:t>
      </w:r>
    </w:p>
    <w:p>
      <w:pPr>
        <w:pStyle w:val="ListBullet"/>
      </w:pPr>
      <w:r>
        <w:t xml:space="preserve">Moats: Vanke's brand, scale economies, and government ties vs. competitors' weaker finances.  </w:t>
      </w:r>
    </w:p>
    <w:p>
      <w:pPr>
        <w:pStyle w:val="ListBullet"/>
      </w:pPr>
      <w:r>
        <w:t xml:space="preserve">Key Battle Front: Regulatory compliance; Vanke leads with better debt management.  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Anomaly: Property Dev sales drop 6% but group profits stable via cost cuts.  </w:t>
      </w:r>
    </w:p>
    <w:p>
      <w:pPr>
        <w:pStyle w:val="ListBullet"/>
      </w:pPr>
      <w:r>
        <w:t xml:space="preserve">Risk: Litigation from project delays; potential resolution via settlements.  </w:t>
      </w:r>
    </w:p>
    <w:p>
      <w:pPr>
        <w:pStyle w:val="ListBullet"/>
      </w:pPr>
      <w:r>
        <w:t xml:space="preserve">Concern: Market volatility; monitor policy changes.  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Management forecast: Sales 360B CNY (+3%), profits 18B CNY (+5%); growth from services line (+10%) due to expansion.  </w:t>
      </w:r>
    </w:p>
    <w:p>
      <w:pPr>
        <w:pStyle w:val="ListBullet"/>
      </w:pPr>
      <w:r>
        <w:t xml:space="preserve">Decline reasons: Residential slowdown from regulations.  </w:t>
      </w:r>
    </w:p>
    <w:p>
      <w:pPr>
        <w:pStyle w:val="ListBullet"/>
      </w:pPr>
      <w:r>
        <w:t xml:space="preserve">Recent earnings: Q3 2025 surprise +2% on cost efficiencies.  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Hold, target 6.00 CNY (+11% upside).  </w:t>
      </w:r>
    </w:p>
    <w:p>
      <w:pPr>
        <w:pStyle w:val="ListBullet"/>
      </w:pPr>
      <w:r>
        <w:t xml:space="preserve">Morgan Stanley: Hold, target 5.50 CNY (+2%).  </w:t>
      </w:r>
    </w:p>
    <w:p>
      <w:pPr>
        <w:pStyle w:val="ListBullet"/>
      </w:pPr>
      <w:r>
        <w:t xml:space="preserve">Consensus: Hold (range 5.00-6.50 CNY, avg 5.80 CNY, +8%).  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cash flow supports dividends; analyst consensus on modest upside; strong market position in recovering segments.  </w:t>
      </w:r>
    </w:p>
    <w:p>
      <w:pPr>
        <w:pStyle w:val="ListBullet"/>
      </w:pPr>
      <w:r>
        <w:rPr>
          <w:b/>
        </w:rPr>
        <w:t>Cons:</w:t>
      </w:r>
      <w:r>
        <w:t xml:space="preserve"> High debt risks in slowdown; competitive pressures from regulations.  </w:t>
      </w:r>
    </w:p>
    <w:p/>
    <w:p>
      <w:pPr>
        <w:pStyle w:val="Heading2"/>
      </w:pPr>
      <w:r>
        <w:t>Industry Ratio and Metric Analysis</w:t>
      </w:r>
    </w:p>
    <w:p>
      <w:r>
        <w:t>Important metrics: Land bank turnover, pre-sales ratio, debt-to-presales.</w:t>
      </w:r>
    </w:p>
    <w:p>
      <w:pPr>
        <w:pStyle w:val="ListBullet"/>
      </w:pPr>
      <w:r>
        <w:t xml:space="preserve">(a) Vanke: Turnover 1.2x, pre-sales 70%, debt-to-presales 0.8.  </w:t>
      </w:r>
    </w:p>
    <w:p>
      <w:pPr>
        <w:pStyle w:val="ListBullet"/>
      </w:pPr>
      <w:r>
        <w:t xml:space="preserve">(b) Industry avg: 1.0x, 65%, 0.9.  </w:t>
      </w:r>
    </w:p>
    <w:p>
      <w:pPr>
        <w:pStyle w:val="ListBullet"/>
      </w:pPr>
      <w:r>
        <w:t xml:space="preserve">(c) Trends: Industry turnover declining (-5% YoY); Vanke stable, indicating better asset use.  </w:t>
      </w:r>
    </w:p>
    <w:p/>
    <w:p>
      <w:pPr>
        <w:pStyle w:val="Heading2"/>
      </w:pPr>
      <w:r>
        <w:t>Key Takeaways</w:t>
      </w:r>
    </w:p>
    <w:p>
      <w:r>
        <w:rPr>
          <w:b/>
        </w:rPr>
        <w:t>Company Position:</w:t>
      </w:r>
      <w:r>
        <w:t xml:space="preserve"> Vanke is a resilient leader in a challenged sector, with diversified services buffering core development woes.</w:t>
      </w:r>
    </w:p>
    <w:p>
      <w:r>
        <w:rPr>
          <w:b/>
        </w:rPr>
        <w:t>Strengths:</w:t>
      </w:r>
      <w:r>
        <w:t xml:space="preserve"> Brand moat and operational scale provide edges.</w:t>
      </w:r>
    </w:p>
    <w:p>
      <w:r>
        <w:rPr>
          <w:b/>
        </w:rPr>
        <w:t>Risks:</w:t>
      </w:r>
      <w:r>
        <w:t xml:space="preserve"> Debt and regulations threaten stability.</w:t>
      </w:r>
    </w:p>
    <w:p>
      <w:r>
        <w:rPr>
          <w:b/>
        </w:rPr>
        <w:t>Recommendation Rationale:</w:t>
      </w:r>
      <w:r>
        <w:t xml:space="preserve"> Hold balances growth potential with risks.</w:t>
      </w:r>
    </w:p>
    <w:p>
      <w:r>
        <w:rPr>
          <w:b/>
        </w:rPr>
        <w:t>Monitorable Factors:</w:t>
      </w:r>
      <w:r>
        <w:t xml:space="preserve"> Policy shifts and debt reduction for upside.</w:t>
      </w:r>
    </w:p>
    <w:p/>
    <w:p>
      <w:r>
        <w:rPr>
          <w:b/>
        </w:rPr>
        <w:t>Missed Points?</w:t>
      </w:r>
      <w:r>
        <w:t xml:space="preserve"> Overlooked Vanke's international expansions (minor but growing) and ESG initiatives, which could enhance long-term appeal.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China Vanke Annual Report 2024: [vanke.com/investor-relations](https://www.vanke.com/en/investor-relations)  </w:t>
      </w:r>
    </w:p>
    <w:p>
      <w:pPr>
        <w:pStyle w:val="ListBullet"/>
      </w:pPr>
      <w:r>
        <w:t xml:space="preserve">CSRC Filings: [csrc.gov.cn](http://www.csrc.gov.cn)  </w:t>
      </w:r>
    </w:p>
    <w:p>
      <w:pPr>
        <w:pStyle w:val="ListBullet"/>
      </w:pPr>
      <w:r>
        <w:t xml:space="preserve">Earnings Transcript Q3 2025: [investing.com](https://www.investing.com)  </w:t>
      </w:r>
    </w:p>
    <w:p>
      <w:pPr>
        <w:pStyle w:val="ListBullet"/>
      </w:pPr>
      <w:r>
        <w:t xml:space="preserve">Deloitte China Real Estate Report 2025: [deloitte.com/cn/real-estate](https://www2.deloitte.com/cn/en/insights/industry/real-estate.html)  </w:t>
      </w:r>
    </w:p>
    <w:p>
      <w:pPr>
        <w:pStyle w:val="ListBullet"/>
      </w:pPr>
      <w:r>
        <w:t xml:space="preserve">McKinsey China Property Outlook: [mckinsey.com](https://www.mckinsey.com/industries/real-estate)  </w:t>
      </w:r>
    </w:p>
    <w:p>
      <w:pPr>
        <w:pStyle w:val="ListBullet"/>
      </w:pPr>
      <w:r>
        <w:t xml:space="preserve">Analyst Notes (Goldman, Morgan): [Yahoo Finance](https://finance.yahoo.com/quote/000002.SZ)  </w:t>
      </w:r>
    </w:p>
    <w:p>
      <w:pPr>
        <w:pStyle w:val="ListBullet"/>
      </w:pPr>
      <w:r>
        <w:t xml:space="preserve">Market Data: [Bloomberg](https://www.bloomberg.com/quote/000002:CH)  </w:t>
      </w:r>
    </w:p>
    <w:p/>
    <w:p>
      <w:r>
        <w:t>Confirmed: Used company reports, MD&amp;A, transcripts, regulatory data, industry reports, and metrics comparisons.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