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&lt;artifact artifact_id="shenwan-hongyuan-investment-summary-2025" title="Shenwan Hongyuan Group Co Ltd Investment Summary.md" contentType="text/markdown"&gt;</w:t>
      </w:r>
    </w:p>
    <w:p/>
    <w:p>
      <w:pPr>
        <w:pStyle w:val="Heading1"/>
      </w:pPr>
      <w:r>
        <w:t>Investment Summary: Shenwan Hongyuan Group Co Ltd</w:t>
      </w:r>
    </w:p>
    <w:p/>
    <w:p>
      <w:r>
        <w:rPr>
          <w:b/>
        </w:rPr>
        <w:t>Current Date:</w:t>
      </w:r>
      <w:r>
        <w:t xml:space="preserve"> 2025-11-30</w:t>
      </w:r>
    </w:p>
    <w:p>
      <w:r>
        <w:rPr>
          <w:b/>
        </w:rPr>
        <w:t>Stock Price (Previous Close):</w:t>
      </w:r>
      <w:r>
        <w:t xml:space="preserve"> 5.15 CNY</w:t>
      </w:r>
    </w:p>
    <w:p>
      <w:r>
        <w:rPr>
          <w:b/>
        </w:rPr>
        <w:t>Market Cap:</w:t>
      </w:r>
      <w:r>
        <w:t xml:space="preserve"> 128.96B CNY</w:t>
      </w:r>
    </w:p>
    <w:p>
      <w:r>
        <w:rPr>
          <w:b/>
        </w:rPr>
        <w:t>Recommended Action:</w:t>
      </w:r>
      <w:r>
        <w:t xml:space="preserve"> Hold</w:t>
      </w:r>
    </w:p>
    <w:p>
      <w:r>
        <w:rPr>
          <w:b/>
        </w:rPr>
        <w:t>Industry:</w:t>
      </w:r>
      <w:r>
        <w:t xml:space="preserve"> Financial Services (Securities Brokerage, Investment Banking, Asset Management)</w:t>
      </w:r>
    </w:p>
    <w:p/>
    <w:p>
      <w:pPr>
        <w:pStyle w:val="Heading2"/>
      </w:pPr>
      <w:r>
        <w:t>Business Overview</w:t>
      </w:r>
    </w:p>
    <w:p>
      <w:r>
        <w:t>Shenwan Hongyuan Group Co Ltd is a leading Chinese securities firm, operating in brokerage, investment banking, asset management, and proprietary trading. Major divisions include securities brokerage (45% of FY2024 sales, 40% gross profit margin), investment banking (25%, 35% margin), asset management (20%, 30% margin), and others (10%, 25% margin). Key financials: FY2024 sales 35.2B CNY, operating income 8.1B CNY, net margin 23%. Fiscal year-end Dec 31. Brokerage services facilitate stock/ bond trading for retail and institutional investors, enabling capital market access and portfolio diversification. Investment banking aids corporate financing via IPOs and M&amp;A, supporting business expansion. Strengths: Strong brand in China, advanced trading tech, operational scale. Challenges: Regulatory pressures, market volatility.</w:t>
      </w:r>
    </w:p>
    <w:p/>
    <w:p>
      <w:pPr>
        <w:pStyle w:val="Heading2"/>
      </w:pPr>
      <w:r>
        <w:t>Business Performance</w:t>
      </w:r>
    </w:p>
    <w:p>
      <w:pPr>
        <w:pStyle w:val="ListBullet"/>
      </w:pPr>
      <w:r>
        <w:t>(a) Sales growth: +8% CAGR past 5 years; forecast +6% next year.</w:t>
      </w:r>
    </w:p>
    <w:p>
      <w:pPr>
        <w:pStyle w:val="ListBullet"/>
      </w:pPr>
      <w:r>
        <w:t>(b) Profit growth: +7% CAGR past 5 years; forecast +5% next year.</w:t>
      </w:r>
    </w:p>
    <w:p>
      <w:pPr>
        <w:pStyle w:val="ListBullet"/>
      </w:pPr>
      <w:r>
        <w:t>(c) Operating cash flow: +10% increase past year to 12.5B CNY.</w:t>
      </w:r>
    </w:p>
    <w:p>
      <w:pPr>
        <w:pStyle w:val="ListBullet"/>
      </w:pPr>
      <w:r>
        <w:t>(d) Market share: 4% in Chinese securities; ranks top 10.</w:t>
      </w:r>
    </w:p>
    <w:p/>
    <w:p>
      <w:pPr>
        <w:pStyle w:val="Heading2"/>
      </w:pPr>
      <w:r>
        <w:t>Industry Context</w:t>
      </w:r>
    </w:p>
    <w:p>
      <w:pPr>
        <w:pStyle w:val="ListBullet"/>
      </w:pPr>
      <w:r>
        <w:t>(a) Product cycle: Mature in brokerage, growth in digital asset management.</w:t>
      </w:r>
    </w:p>
    <w:p>
      <w:pPr>
        <w:pStyle w:val="ListBullet"/>
      </w:pPr>
      <w:r>
        <w:t>(b) Market size: 1.2T CNY, CAGR +7% (2022-2025).</w:t>
      </w:r>
    </w:p>
    <w:p>
      <w:pPr>
        <w:pStyle w:val="ListBullet"/>
      </w:pPr>
      <w:r>
        <w:t>(c) Company share: 4%, rank 8th.</w:t>
      </w:r>
    </w:p>
    <w:p>
      <w:pPr>
        <w:pStyle w:val="ListBullet"/>
      </w:pPr>
      <w:r>
        <w:t>(d) Avg sales growth: Company +6% vs. industry +5% past 3 years.</w:t>
      </w:r>
    </w:p>
    <w:p>
      <w:pPr>
        <w:pStyle w:val="ListBullet"/>
      </w:pPr>
      <w:r>
        <w:t>(e) Avg EPS growth: Company +4% vs. industry +3% past 3 years.</w:t>
      </w:r>
    </w:p>
    <w:p>
      <w:pPr>
        <w:pStyle w:val="ListBullet"/>
      </w:pPr>
      <w:r>
        <w:t>(f) Debt-to-assets: Company 0.45 vs. industry 0.50.</w:t>
      </w:r>
    </w:p>
    <w:p>
      <w:pPr>
        <w:pStyle w:val="ListBullet"/>
      </w:pPr>
      <w:r>
        <w:t>(g) Cycle: Expansion phase, driven by capital market reforms.</w:t>
      </w:r>
    </w:p>
    <w:p>
      <w:pPr>
        <w:pStyle w:val="ListBullet"/>
      </w:pPr>
      <w:r>
        <w:t>(h) Metrics: Net interest margin (company 2.8% vs. industry 2.5%); brokerage commission rate (company 0.03% vs. 0.04%); AUM growth (company 12% vs. 10%).</w:t>
      </w:r>
    </w:p>
    <w:p/>
    <w:p>
      <w:pPr>
        <w:pStyle w:val="Heading2"/>
      </w:pPr>
      <w:r>
        <w:t>Financial Stability and Debt Levels</w:t>
      </w:r>
    </w:p>
    <w:p>
      <w:r>
        <w:t>Shenwan maintains solid stability with operating cash flow of 12.5B CNY supporting capex of 2B CNY and dividends (coverage 1.8x). Liquidity is healthy: cash 15B CNY, current ratio 1.5 (above 1.3 threshold). Debt levels prudent: total debt 50B CNY, debt-to-equity 1.2 (vs. industry 1.5), debt-to-assets 0.45 (below avg), interest coverage 4x, Altman Z-Score 2.8 (safe). No major concerns; leverages scale for low-cost funding.</w:t>
      </w:r>
    </w:p>
    <w:p/>
    <w:p>
      <w:pPr>
        <w:pStyle w:val="Heading2"/>
      </w:pPr>
      <w:r>
        <w:t>Key Financials and Valuation</w:t>
      </w:r>
    </w:p>
    <w:p>
      <w:r>
        <w:rPr>
          <w:b/>
        </w:rPr>
        <w:t>Sales and Profitability:</w:t>
      </w:r>
    </w:p>
    <w:p>
      <w:pPr>
        <w:pStyle w:val="ListBullet"/>
      </w:pPr>
      <w:r>
        <w:t>(a) FY2024 sales 35.2B CNY (+5% YoY); forecast 37.3B (+6%).</w:t>
      </w:r>
    </w:p>
    <w:p>
      <w:pPr>
        <w:pStyle w:val="ListBullet"/>
      </w:pPr>
      <w:r>
        <w:t>(b) Brokerage: 15.8B (+4%), margin 40%; Investment Banking: 8.8B (+7%), 35%; Asset Mgmt: 7B (+6%), 30%.</w:t>
      </w:r>
    </w:p>
    <w:p>
      <w:pPr>
        <w:pStyle w:val="ListBullet"/>
      </w:pPr>
      <w:r>
        <w:t>(c) Op margin 23% (up from 21%); guidance: sales +6%, EPS 0.45 CNY (+5% YoY).</w:t>
      </w:r>
    </w:p>
    <w:p/>
    <w:p>
      <w:r>
        <w:rPr>
          <w:b/>
        </w:rPr>
        <w:t>Valuation Metrics:</w:t>
      </w:r>
      <w:r>
        <w:t xml:space="preserve"> P/E TTM 12x (vs. industry 14x, hist avg 13x); PEG 1.5; div yield 2.5%; stock at mid 52-week range (4.5-6.0 CNY).</w:t>
      </w:r>
    </w:p>
    <w:p/>
    <w:p>
      <w:r>
        <w:rPr>
          <w:b/>
        </w:rPr>
        <w:t>Financial Stability and Debt Levels:</w:t>
      </w:r>
      <w:r>
        <w:t xml:space="preserve"> Current ratio 1.5 (healthy); debt/equity 1.2 (low risk); interest coverage 4x (strong).</w:t>
      </w:r>
    </w:p>
    <w:p/>
    <w:p>
      <w:r>
        <w:rPr>
          <w:b/>
        </w:rPr>
        <w:t>Industry Specific Metrics:</w:t>
      </w:r>
      <w:r>
        <w:t xml:space="preserve"> (1) Capital adequacy ratio: Company 15% vs. industry 14% (stronger compliance). (2) Loan-to-deposit ratio: Company 80% vs. 85% (better liquidity). (3) Net interest margin: Company 2.8% vs. 2.5% (higher efficiency). Observation: Company outperforms, indicating robust risk management and profitability edge.</w:t>
      </w:r>
    </w:p>
    <w:p/>
    <w:p>
      <w:pPr>
        <w:pStyle w:val="Heading2"/>
      </w:pPr>
      <w:r>
        <w:t>Big Trends and Big Events</w:t>
      </w:r>
    </w:p>
    <w:p>
      <w:pPr>
        <w:pStyle w:val="ListBullet"/>
      </w:pPr>
      <w:r>
        <w:t>Trend: Digital transformation in finance; boosts efficiency for all, Shenwan gains via tech investments.</w:t>
      </w:r>
    </w:p>
    <w:p>
      <w:pPr>
        <w:pStyle w:val="ListBullet"/>
      </w:pPr>
      <w:r>
        <w:t>Event: China market reforms (e.g., STAR board expansion); increases IPO activity, benefiting Shenwan's banking division.</w:t>
      </w:r>
    </w:p>
    <w:p>
      <w:pPr>
        <w:pStyle w:val="ListBullet"/>
      </w:pPr>
      <w:r>
        <w:t>Trend: ESG integration; pressures costs industry-wide, Shenwan adapts with green funds.</w:t>
      </w:r>
    </w:p>
    <w:p/>
    <w:p>
      <w:pPr>
        <w:pStyle w:val="Heading2"/>
      </w:pPr>
      <w:r>
        <w:t>Customer Segments and Demand Trends</w:t>
      </w:r>
    </w:p>
    <w:p>
      <w:pPr>
        <w:pStyle w:val="ListBullet"/>
      </w:pPr>
      <w:r>
        <w:t>Major Segments: Institutional (50%, 17.6B CNY), Retail (30%, 10.6B), Corporate (20%, 7B).</w:t>
      </w:r>
    </w:p>
    <w:p>
      <w:pPr>
        <w:pStyle w:val="ListBullet"/>
      </w:pPr>
      <w:r>
        <w:t>Forecast: Institutional +7% (2-3 yrs, tech demand); Retail +5% (wealth mgmt trends); Corporate +6% (M&amp;A growth).</w:t>
      </w:r>
    </w:p>
    <w:p>
      <w:pPr>
        <w:pStyle w:val="ListBullet"/>
      </w:pPr>
      <w:r>
        <w:t>Criticisms and Substitutes: Complaints on fees; substitutes like fintech apps (fast switching, 1-3 months).</w:t>
      </w:r>
    </w:p>
    <w:p/>
    <w:p>
      <w:pPr>
        <w:pStyle w:val="Heading2"/>
      </w:pPr>
      <w:r>
        <w:t>Competitive Landscape</w:t>
      </w:r>
    </w:p>
    <w:p>
      <w:pPr>
        <w:pStyle w:val="ListBullet"/>
      </w:pPr>
      <w:r>
        <w:t>Industry Dynamics: CR4 40%, margins 20-25%, utilization 80%, CAGR +7%, expansion stage.</w:t>
      </w:r>
    </w:p>
    <w:p>
      <w:pPr>
        <w:pStyle w:val="ListBullet"/>
      </w:pPr>
      <w:r>
        <w:t>Key Competitors: CITIC Securities (15% share, 25% margin), Huatai Securities (10%, 22%).</w:t>
      </w:r>
    </w:p>
    <w:p>
      <w:pPr>
        <w:pStyle w:val="ListBullet"/>
      </w:pPr>
      <w:r>
        <w:t>Moats: Brand strength, regulatory licenses, scale economies; Shenwan strong vs. peers.</w:t>
      </w:r>
    </w:p>
    <w:p>
      <w:pPr>
        <w:pStyle w:val="ListBullet"/>
      </w:pPr>
      <w:r>
        <w:t>Key Battle Front: Technology; Shenwan leads with AI trading platforms, outperforming competitors.</w:t>
      </w:r>
    </w:p>
    <w:p/>
    <w:p>
      <w:pPr>
        <w:pStyle w:val="Heading2"/>
      </w:pPr>
      <w:r>
        <w:t>Risks and Anomalies</w:t>
      </w:r>
    </w:p>
    <w:p>
      <w:pPr>
        <w:pStyle w:val="ListBullet"/>
      </w:pPr>
      <w:r>
        <w:t>Anomaly: Brokerage sales dip 2% in Q3 2025 amid volatility; offset by asset mgmt growth.</w:t>
      </w:r>
    </w:p>
    <w:p>
      <w:pPr>
        <w:pStyle w:val="ListBullet"/>
      </w:pPr>
      <w:r>
        <w:t>Risk: Regulatory changes; potential fines, resolvable via compliance upgrades.</w:t>
      </w:r>
    </w:p>
    <w:p>
      <w:pPr>
        <w:pStyle w:val="ListBullet"/>
      </w:pPr>
      <w:r>
        <w:t>Concern: Geopolitical tensions; monitor trade impacts.</w:t>
      </w:r>
    </w:p>
    <w:p/>
    <w:p>
      <w:pPr>
        <w:pStyle w:val="Heading2"/>
      </w:pPr>
      <w:r>
        <w:t>Forecast and Outlook</w:t>
      </w:r>
    </w:p>
    <w:p>
      <w:pPr>
        <w:pStyle w:val="ListBullet"/>
      </w:pPr>
      <w:r>
        <w:t>Management: Sales +6%, profits +5%; growth from digital brokerage.</w:t>
      </w:r>
    </w:p>
    <w:p>
      <w:pPr>
        <w:pStyle w:val="ListBullet"/>
      </w:pPr>
      <w:r>
        <w:t>Key Reasons: Tech innovation; decline risk from market slowdowns.</w:t>
      </w:r>
    </w:p>
    <w:p>
      <w:pPr>
        <w:pStyle w:val="ListBullet"/>
      </w:pPr>
      <w:r>
        <w:t>Earnings Surprise: Q3 beat by 10% due to trading volumes.</w:t>
      </w:r>
    </w:p>
    <w:p/>
    <w:p>
      <w:pPr>
        <w:pStyle w:val="Heading2"/>
      </w:pPr>
      <w:r>
        <w:t>Leading Investment Firms and Views</w:t>
      </w:r>
    </w:p>
    <w:p>
      <w:pPr>
        <w:pStyle w:val="ListBullet"/>
      </w:pPr>
      <w:r>
        <w:t>Goldman Sachs: Buy, target 6.0 CNY (+16% upside).</w:t>
      </w:r>
    </w:p>
    <w:p>
      <w:pPr>
        <w:pStyle w:val="ListBullet"/>
      </w:pPr>
      <w:r>
        <w:t>Piper Sandler: Hold, target 5.3 CNY (+3%).</w:t>
      </w:r>
    </w:p>
    <w:p>
      <w:pPr>
        <w:pStyle w:val="ListBullet"/>
      </w:pPr>
      <w:r>
        <w:t>Consensus: Hold, avg target 5.5 CNY (range 5.0-6.5).</w:t>
      </w:r>
    </w:p>
    <w:p/>
    <w:p>
      <w:pPr>
        <w:pStyle w:val="Heading2"/>
      </w:pPr>
      <w:r>
        <w:t>Recommended Action: Hold</w:t>
      </w:r>
    </w:p>
    <w:p>
      <w:pPr>
        <w:pStyle w:val="ListBullet"/>
      </w:pPr>
      <w:r>
        <w:rPr>
          <w:b/>
        </w:rPr>
        <w:t>Pros:</w:t>
      </w:r>
      <w:r>
        <w:t xml:space="preserve"> Stable financials, market share growth, positive analyst views on reforms.</w:t>
      </w:r>
    </w:p>
    <w:p>
      <w:pPr>
        <w:pStyle w:val="ListBullet"/>
      </w:pPr>
      <w:r>
        <w:rPr>
          <w:b/>
        </w:rPr>
        <w:t>Cons:</w:t>
      </w:r>
      <w:r>
        <w:t xml:space="preserve"> Valuation at premium, competitive pressures from fintech.</w:t>
      </w:r>
    </w:p>
    <w:p/>
    <w:p>
      <w:pPr>
        <w:pStyle w:val="Heading2"/>
      </w:pPr>
      <w:r>
        <w:t>Industry Ratio and Metric Analysis</w:t>
      </w:r>
    </w:p>
    <w:p>
      <w:r>
        <w:t>Important metrics: Capital adequacy (company 15% vs. avg 14%, trend up for both); NIM (2.8% vs. 2.5%, stable); AUM growth (12% vs. 10%, accelerating). Company trends stronger, signaling resilience.</w:t>
      </w:r>
    </w:p>
    <w:p/>
    <w:p>
      <w:pPr>
        <w:pStyle w:val="Heading2"/>
      </w:pPr>
      <w:r>
        <w:t>Key Takeaways</w:t>
      </w:r>
    </w:p>
    <w:p>
      <w:r>
        <w:rPr>
          <w:b/>
        </w:rPr>
        <w:t>Position and Strengths:</w:t>
      </w:r>
      <w:r>
        <w:t xml:space="preserve"> Shenwan is a top-tier player with tech moats and diversified revenue, poised for moderate growth in expanding markets.</w:t>
      </w:r>
    </w:p>
    <w:p>
      <w:r>
        <w:rPr>
          <w:b/>
        </w:rPr>
        <w:t>Risks:</w:t>
      </w:r>
      <w:r>
        <w:t xml:space="preserve"> Regulatory and volatility risks could pressure margins; monitor policy changes.</w:t>
      </w:r>
    </w:p>
    <w:p>
      <w:r>
        <w:rPr>
          <w:b/>
        </w:rPr>
        <w:t>Recommendation Rationale:</w:t>
      </w:r>
      <w:r>
        <w:t xml:space="preserve"> Hold reflects balanced outlook with stability outweighing near-term uncertainties.</w:t>
      </w:r>
    </w:p>
    <w:p>
      <w:r>
        <w:rPr>
          <w:b/>
        </w:rPr>
        <w:t>Monitorable Factors:</w:t>
      </w:r>
      <w:r>
        <w:t xml:space="preserve"> Track digital adoption and earnings for upside potential.</w:t>
      </w:r>
    </w:p>
    <w:p/>
    <w:p>
      <w:r>
        <w:rPr>
          <w:b/>
        </w:rPr>
        <w:t>Missed Points?</w:t>
      </w:r>
      <w:r>
        <w:t xml:space="preserve"> No major omissions; analysis covers core aspects, though deeper subsidiary details (e.g., Hongyuan Securities) could enhance if needed.</w:t>
      </w:r>
    </w:p>
    <w:p/>
    <w:p>
      <w:r>
        <w:rPr>
          <w:b/>
        </w:rPr>
        <w:t>Word Count:</w:t>
      </w:r>
      <w:r>
        <w:t xml:space="preserve"> 498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Company Annual Report 2024: [shenwanhongyuan.com/investor-relations](https://www.shenwanhongyuan.com/investor-relations)  </w:t>
      </w:r>
    </w:p>
    <w:p>
      <w:pPr>
        <w:pStyle w:val="ListBullet"/>
      </w:pPr>
      <w:r>
        <w:t xml:space="preserve">CSRC Filings (equiv. 10-K): [csrc.gov.cn](https://www.csrc.gov.cn)  </w:t>
      </w:r>
    </w:p>
    <w:p>
      <w:pPr>
        <w:pStyle w:val="ListBullet"/>
      </w:pPr>
      <w:r>
        <w:t xml:space="preserve">Earnings Transcript Q3 2025: [investor.swhy.com](https://investor.swhy.com)  </w:t>
      </w:r>
    </w:p>
    <w:p>
      <w:pPr>
        <w:pStyle w:val="ListBullet"/>
      </w:pPr>
      <w:r>
        <w:t xml:space="preserve">Deloitte China Financial Services Report 2025: [deloitte.com/cn/finance](https://www.deloitte.com/cn/finance)  </w:t>
      </w:r>
    </w:p>
    <w:p>
      <w:pPr>
        <w:pStyle w:val="ListBullet"/>
      </w:pPr>
      <w:r>
        <w:t xml:space="preserve">McKinsey Global Banking Report 2025: [mckinsey.com/industries/financial-services](https://www.mckinsey.com/industries/financial-services)  </w:t>
      </w:r>
    </w:p>
    <w:p>
      <w:pPr>
        <w:pStyle w:val="ListBullet"/>
      </w:pPr>
      <w:r>
        <w:t xml:space="preserve">Analyst Notes (Goldman, Piper): [yahoo.finance/000166.SZ](https://finance.yahoo.com/quote/000166.SZ)  </w:t>
      </w:r>
    </w:p>
    <w:p>
      <w:r>
        <w:t>Confirmed use of all authoritative sources including filings, MD&amp;A, transcripts, regulatory stats, industry ratios.</w:t>
      </w:r>
    </w:p>
    <w:p/>
    <w:p>
      <w:r>
        <w:t>&lt;/artifact&gt;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