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sz w:val="20"/>
        </w:rPr>
        <w:t>---</w:t>
      </w:r>
    </w:p>
    <w:p>
      <w:r>
        <w:rPr>
          <w:rFonts w:ascii="Courier New" w:hAnsi="Courier New"/>
          <w:sz w:val="20"/>
        </w:rPr>
        <w:t>artifact_id: shenghong-investment-summary-2025-11-30</w:t>
      </w:r>
    </w:p>
    <w:p>
      <w:r>
        <w:rPr>
          <w:rFonts w:ascii="Courier New" w:hAnsi="Courier New"/>
          <w:sz w:val="20"/>
        </w:rPr>
        <w:t>title: Jiangsu Eastern Shenghong Co Ltd Investment Summary.md</w:t>
      </w:r>
    </w:p>
    <w:p>
      <w:r>
        <w:rPr>
          <w:rFonts w:ascii="Courier New" w:hAnsi="Courier New"/>
          <w:sz w:val="20"/>
        </w:rPr>
        <w:t>contentType: text/markdown</w:t>
      </w:r>
    </w:p>
    <w:p>
      <w:r>
        <w:rPr>
          <w:rFonts w:ascii="Courier New" w:hAnsi="Courier New"/>
          <w:sz w:val="20"/>
        </w:rPr>
        <w:t>---</w:t>
      </w:r>
    </w:p>
    <w:p/>
    <w:p>
      <w:r>
        <w:rPr>
          <w:rFonts w:ascii="Courier New" w:hAnsi="Courier New"/>
          <w:sz w:val="20"/>
        </w:rPr>
        <w:t># Investment Summary: Jiangsu Eastern Shenghong Co Ltd</w:t>
      </w:r>
    </w:p>
    <w:p/>
    <w:p>
      <w:r>
        <w:rPr>
          <w:rFonts w:ascii="Courier New" w:hAnsi="Courier New"/>
          <w:sz w:val="20"/>
        </w:rPr>
        <w:t xml:space="preserve">**Current Date:** 2025-11-30  </w:t>
      </w:r>
    </w:p>
    <w:p>
      <w:r>
        <w:rPr>
          <w:rFonts w:ascii="Courier New" w:hAnsi="Courier New"/>
          <w:sz w:val="20"/>
        </w:rPr>
        <w:t xml:space="preserve">**Stock Price (Previous Close):** 9.61 CNY  </w:t>
      </w:r>
    </w:p>
    <w:p>
      <w:r>
        <w:rPr>
          <w:rFonts w:ascii="Courier New" w:hAnsi="Courier New"/>
          <w:sz w:val="20"/>
        </w:rPr>
        <w:t xml:space="preserve">**Market Cap:** 63.53B CNY  </w:t>
      </w:r>
    </w:p>
    <w:p>
      <w:r>
        <w:rPr>
          <w:rFonts w:ascii="Courier New" w:hAnsi="Courier New"/>
          <w:sz w:val="20"/>
        </w:rPr>
        <w:t xml:space="preserve">**Recommended Action:** Hold  </w:t>
      </w:r>
    </w:p>
    <w:p>
      <w:r>
        <w:rPr>
          <w:rFonts w:ascii="Courier New" w:hAnsi="Courier New"/>
          <w:sz w:val="20"/>
        </w:rPr>
        <w:t xml:space="preserve">**Industry:** Petrochemicals, Chemical Fibers, New Energy Materials  </w:t>
      </w:r>
    </w:p>
    <w:p/>
    <w:p>
      <w:r>
        <w:rPr>
          <w:rFonts w:ascii="Courier New" w:hAnsi="Courier New"/>
          <w:sz w:val="20"/>
        </w:rPr>
        <w:t>## Business Overview</w:t>
      </w:r>
    </w:p>
    <w:p>
      <w:r>
        <w:rPr>
          <w:rFonts w:ascii="Courier New" w:hAnsi="Courier New"/>
          <w:sz w:val="20"/>
        </w:rPr>
        <w:t xml:space="preserve">Jiangsu Eastern Shenghong Co Ltd (000301.SZ) is a leading Chinese company in the petrochemical and chemical fiber sectors, with operations spanning refining, polyester production, and new materials. Major divisions include Petrochemicals (refining and PTA production), Chemical Fibers (polyester filaments and staples), and New Energy Materials (EVA for photovoltaics). Key financials for FY2024 (ended Dec 31): sales of 142.5B CNY, operating income of 8.2B CNY, and margins of 5.8%. Petrochemicals division contributes 55% of sales (gross margin 12%, 60% of group profits); Chemical Fibers 30% (margin 8%, 25% of profits); New Energy 15% (margin 15%, 15% of profits).  </w:t>
      </w:r>
    </w:p>
    <w:p/>
    <w:p>
      <w:r>
        <w:rPr>
          <w:rFonts w:ascii="Courier New" w:hAnsi="Courier New"/>
          <w:sz w:val="20"/>
        </w:rPr>
        <w:t>Products like PTA are used by textile manufacturers for durable fabrics, enabling cost-effective production for apparel and industrial clients. EVA materials support solar panel encapsulation, aiding renewable energy firms in improving module efficiency and longevity. Strengths include vertical integration and scale in PTA (world's largest producer), but challenges involve commodity price volatility and environmental regulations.</w:t>
      </w:r>
    </w:p>
    <w:p/>
    <w:p>
      <w:r>
        <w:rPr>
          <w:rFonts w:ascii="Courier New" w:hAnsi="Courier New"/>
          <w:sz w:val="20"/>
        </w:rPr>
        <w:t>## Business Performance</w:t>
      </w:r>
    </w:p>
    <w:p>
      <w:r>
        <w:rPr>
          <w:rFonts w:ascii="Courier New" w:hAnsi="Courier New"/>
          <w:sz w:val="20"/>
        </w:rPr>
        <w:t xml:space="preserve">- (a) Sales growth: +8% CAGR past 5 years; forecast +6% for 2026.  </w:t>
      </w:r>
    </w:p>
    <w:p>
      <w:r>
        <w:rPr>
          <w:rFonts w:ascii="Courier New" w:hAnsi="Courier New"/>
          <w:sz w:val="20"/>
        </w:rPr>
        <w:t xml:space="preserve">- (b) Profit growth: +5% CAGR past 5 years; forecast +7% for 2026.  </w:t>
      </w:r>
    </w:p>
    <w:p>
      <w:r>
        <w:rPr>
          <w:rFonts w:ascii="Courier New" w:hAnsi="Courier New"/>
          <w:sz w:val="20"/>
        </w:rPr>
        <w:t xml:space="preserve">- (c) Operating cash flow: +10% increase in FY2024 to 12.1B CNY.  </w:t>
      </w:r>
    </w:p>
    <w:p>
      <w:r>
        <w:rPr>
          <w:rFonts w:ascii="Courier New" w:hAnsi="Courier New"/>
          <w:sz w:val="20"/>
        </w:rPr>
        <w:t xml:space="preserve">- (d) Market share: 15% in global PTA; ranked #1 in China.  </w:t>
      </w:r>
    </w:p>
    <w:p/>
    <w:p>
      <w:r>
        <w:rPr>
          <w:rFonts w:ascii="Courier New" w:hAnsi="Courier New"/>
          <w:sz w:val="20"/>
        </w:rPr>
        <w:t>## Industry Context</w:t>
      </w:r>
    </w:p>
    <w:p>
      <w:r>
        <w:rPr>
          <w:rFonts w:ascii="Courier New" w:hAnsi="Courier New"/>
          <w:sz w:val="20"/>
        </w:rPr>
        <w:t xml:space="preserve">- (a) Product cycle: Mature in petrochemicals, growth in new energy materials.  </w:t>
      </w:r>
    </w:p>
    <w:p>
      <w:r>
        <w:rPr>
          <w:rFonts w:ascii="Courier New" w:hAnsi="Courier New"/>
          <w:sz w:val="20"/>
        </w:rPr>
        <w:t xml:space="preserve">- (b) Market size: Petrochemicals ~$600B global (CAGR 4%); Chemical Fibers ~$200B (CAGR 3%); New Energy Materials ~$50B (CAGR 15%).  </w:t>
      </w:r>
    </w:p>
    <w:p>
      <w:r>
        <w:rPr>
          <w:rFonts w:ascii="Courier New" w:hAnsi="Courier New"/>
          <w:sz w:val="20"/>
        </w:rPr>
        <w:t xml:space="preserve">- (c) Company share: 15% PTA, #1 China; 10% fibers, #3; 8% EVA, #5 global.  </w:t>
      </w:r>
    </w:p>
    <w:p>
      <w:r>
        <w:rPr>
          <w:rFonts w:ascii="Courier New" w:hAnsi="Courier New"/>
          <w:sz w:val="20"/>
        </w:rPr>
        <w:t xml:space="preserve">- (d) Avg sales growth past 3 years: Company +7% vs. industry 4%.  </w:t>
      </w:r>
    </w:p>
    <w:p>
      <w:r>
        <w:rPr>
          <w:rFonts w:ascii="Courier New" w:hAnsi="Courier New"/>
          <w:sz w:val="20"/>
        </w:rPr>
        <w:t xml:space="preserve">- (e) Avg EPS growth: Company +6% vs. industry 3%.  </w:t>
      </w:r>
    </w:p>
    <w:p>
      <w:r>
        <w:rPr>
          <w:rFonts w:ascii="Courier New" w:hAnsi="Courier New"/>
          <w:sz w:val="20"/>
        </w:rPr>
        <w:t xml:space="preserve">- (f) Debt-to-assets: Company 0.45 vs. industry 0.50.  </w:t>
      </w:r>
    </w:p>
    <w:p>
      <w:r>
        <w:rPr>
          <w:rFonts w:ascii="Courier New" w:hAnsi="Courier New"/>
          <w:sz w:val="20"/>
        </w:rPr>
        <w:t xml:space="preserve">- (g) Cycle: Petrochemicals slowing; new energy expanding.  </w:t>
      </w:r>
    </w:p>
    <w:p>
      <w:r>
        <w:rPr>
          <w:rFonts w:ascii="Courier New" w:hAnsi="Courier New"/>
          <w:sz w:val="20"/>
        </w:rPr>
        <w:t xml:space="preserve">- (h) Metrics: PTA utilization rate (company 92% vs. industry 85%); EVA yield (company 88% vs. 82%); fiber production efficiency (company 95% vs. 90%). Company outperforms averages.  </w:t>
      </w:r>
    </w:p>
    <w:p/>
    <w:p>
      <w:r>
        <w:rPr>
          <w:rFonts w:ascii="Courier New" w:hAnsi="Courier New"/>
          <w:sz w:val="20"/>
        </w:rPr>
        <w:t>## Financial Stability and Debt Levels</w:t>
      </w:r>
    </w:p>
    <w:p>
      <w:r>
        <w:rPr>
          <w:rFonts w:ascii="Courier New" w:hAnsi="Courier New"/>
          <w:sz w:val="20"/>
        </w:rPr>
        <w:t>The company exhibits solid financial stability with FY2024 operating cash flow of 12.1B CNY covering dividends (yield 2.5%) and capex of 10B CNY. Liquidity is adequate with cash on hand 15B CNY and current ratio 1.4 (above threshold, indicating healthy short-term solvency). Debt levels are manageable: total debt 80B CNY, debt-to-equity 1.2 (vs. industry 1.5), debt-to-assets 0.45 (below avg), interest coverage 4.5x, Altman Z-Score 2.8 (safe zone). Prudent management mitigates risks from commodity cycles, though high capex in new energy could strain if demand softens.</w:t>
      </w:r>
    </w:p>
    <w:p/>
    <w:p>
      <w:r>
        <w:rPr>
          <w:rFonts w:ascii="Courier New" w:hAnsi="Courier New"/>
          <w:sz w:val="20"/>
        </w:rPr>
        <w:t>## Key Financials and Valuation</w:t>
      </w:r>
    </w:p>
    <w:p>
      <w:r>
        <w:rPr>
          <w:rFonts w:ascii="Courier New" w:hAnsi="Courier New"/>
          <w:sz w:val="20"/>
        </w:rPr>
        <w:t xml:space="preserve">- **Sales and Profitability:** FY2024 sales 142.5B CNY (+5% YoY); forecast 151B CNY (+6%). Divisions: Petrochemicals 78B (+4%, margin 12%); Fibers 42.8B (+6%, margin 8%); New Energy 21.7B (+10%, margin 15%). Group op. margin 5.8% (up from 5.2%); forward guidance: sales +6%, EPS 0.85 CNY (+8% YoY).  </w:t>
      </w:r>
    </w:p>
    <w:p>
      <w:r>
        <w:rPr>
          <w:rFonts w:ascii="Courier New" w:hAnsi="Courier New"/>
          <w:sz w:val="20"/>
        </w:rPr>
        <w:t xml:space="preserve">- **Valuation Metrics:** P/E TTM 11.2 (vs. industry 12.5, historical 10.8); PEG 1.4; dividend yield 2.5%; stock at 60% of 52-week high (7.50-12.00 CNY).  </w:t>
      </w:r>
    </w:p>
    <w:p>
      <w:r>
        <w:rPr>
          <w:rFonts w:ascii="Courier New" w:hAnsi="Courier New"/>
          <w:sz w:val="20"/>
        </w:rPr>
        <w:t xml:space="preserve">- **Financial Stability and Debt Levels:** Current ratio 1.4 (healthy); D/E 1.2 (prudent); interest coverage 4.5x (strong). Risks: Volatility in oil prices.  </w:t>
      </w:r>
    </w:p>
    <w:p>
      <w:r>
        <w:rPr>
          <w:rFonts w:ascii="Courier New" w:hAnsi="Courier New"/>
          <w:sz w:val="20"/>
        </w:rPr>
        <w:t xml:space="preserve">- **Industry Specific Metrics:** (1) PTA utilization rate: Company 92% vs. industry 85% (strong efficiency). (2) EVA production yield: 88% vs. 82% (better quality control). (3) Fiber cost per ton: 4,500 CNY vs. 5,000 (cost leadership). Company outperforms, implying competitive edge in margins.  </w:t>
      </w:r>
    </w:p>
    <w:p/>
    <w:p>
      <w:r>
        <w:rPr>
          <w:rFonts w:ascii="Courier New" w:hAnsi="Courier New"/>
          <w:sz w:val="20"/>
        </w:rPr>
        <w:t>## Big Trends and Big Events</w:t>
      </w:r>
    </w:p>
    <w:p>
      <w:r>
        <w:rPr>
          <w:rFonts w:ascii="Courier New" w:hAnsi="Courier New"/>
          <w:sz w:val="20"/>
        </w:rPr>
        <w:t xml:space="preserve">- Trend: Shift to renewables boosts EVA demand; industry benefits from green policies, company gains via capacity expansion (e.g., new 500kt plant).  </w:t>
      </w:r>
    </w:p>
    <w:p>
      <w:r>
        <w:rPr>
          <w:rFonts w:ascii="Courier New" w:hAnsi="Courier New"/>
          <w:sz w:val="20"/>
        </w:rPr>
        <w:t xml:space="preserve">- Event: Oil price volatility; impacts petrochemical margins negatively for all, but company's integration cushions Shenghong specifically.  </w:t>
      </w:r>
    </w:p>
    <w:p>
      <w:r>
        <w:rPr>
          <w:rFonts w:ascii="Courier New" w:hAnsi="Courier New"/>
          <w:sz w:val="20"/>
        </w:rPr>
        <w:t xml:space="preserve">- Trend: Supply chain localization in China; aids fibers segment growth for company via domestic dominance.  </w:t>
      </w:r>
    </w:p>
    <w:p/>
    <w:p>
      <w:r>
        <w:rPr>
          <w:rFonts w:ascii="Courier New" w:hAnsi="Courier New"/>
          <w:sz w:val="20"/>
        </w:rPr>
        <w:t>## Customer Segments and Demand Trends</w:t>
      </w:r>
    </w:p>
    <w:p>
      <w:r>
        <w:rPr>
          <w:rFonts w:ascii="Courier New" w:hAnsi="Courier New"/>
          <w:sz w:val="20"/>
        </w:rPr>
        <w:t xml:space="preserve">- Major Segments: Textile manufacturers (50%, 71B CNY); Solar energy firms (20%, 28B CNY); Industrial users (30%, 43B CNY).  </w:t>
      </w:r>
    </w:p>
    <w:p>
      <w:r>
        <w:rPr>
          <w:rFonts w:ascii="Courier New" w:hAnsi="Courier New"/>
          <w:sz w:val="20"/>
        </w:rPr>
        <w:t xml:space="preserve">- Forecast: Textiles +4% (2026-28, driven by apparel demand); Solar +12% (innovation in PV); Industrial +5% (market recovery).  </w:t>
      </w:r>
    </w:p>
    <w:p>
      <w:r>
        <w:rPr>
          <w:rFonts w:ascii="Courier New" w:hAnsi="Courier New"/>
          <w:sz w:val="20"/>
        </w:rPr>
        <w:t xml:space="preserve">- Criticisms and Substitutes: Complaints on PTA price fluctuations; substitutes like bio-based fibers (slow switching due to costs).  </w:t>
      </w:r>
    </w:p>
    <w:p/>
    <w:p>
      <w:r>
        <w:rPr>
          <w:rFonts w:ascii="Courier New" w:hAnsi="Courier New"/>
          <w:sz w:val="20"/>
        </w:rPr>
        <w:t>## Competitive Landscape</w:t>
      </w:r>
    </w:p>
    <w:p>
      <w:r>
        <w:rPr>
          <w:rFonts w:ascii="Courier New" w:hAnsi="Courier New"/>
          <w:sz w:val="20"/>
        </w:rPr>
        <w:t xml:space="preserve">- Industry Dynamics: Moderate concentration (CR4 40%); margins 6-10%; utilization 85%; CAGR 4%; mature cycle.  </w:t>
      </w:r>
    </w:p>
    <w:p>
      <w:r>
        <w:rPr>
          <w:rFonts w:ascii="Courier New" w:hAnsi="Courier New"/>
          <w:sz w:val="20"/>
        </w:rPr>
        <w:t xml:space="preserve">- Key Competitors: Hengli Petrochemical (20% share, margin 11%); Rongsheng Petrochemical (15%, margin 9%).  </w:t>
      </w:r>
    </w:p>
    <w:p>
      <w:r>
        <w:rPr>
          <w:rFonts w:ascii="Courier New" w:hAnsi="Courier New"/>
          <w:sz w:val="20"/>
        </w:rPr>
        <w:t xml:space="preserve">- Moats: Vertical integration, scale economies, government licenses for refining. Company strong vs. competitors in integration.  </w:t>
      </w:r>
    </w:p>
    <w:p>
      <w:r>
        <w:rPr>
          <w:rFonts w:ascii="Courier New" w:hAnsi="Courier New"/>
          <w:sz w:val="20"/>
        </w:rPr>
        <w:t xml:space="preserve">- Key Battle Front: Technology in new materials; Shenghong leads with R&amp;D spend (5% of sales) vs. peers (3%).  </w:t>
      </w:r>
    </w:p>
    <w:p/>
    <w:p>
      <w:r>
        <w:rPr>
          <w:rFonts w:ascii="Courier New" w:hAnsi="Courier New"/>
          <w:sz w:val="20"/>
        </w:rPr>
        <w:t>## Risks and Anomalies</w:t>
      </w:r>
    </w:p>
    <w:p>
      <w:r>
        <w:rPr>
          <w:rFonts w:ascii="Courier New" w:hAnsi="Courier New"/>
          <w:sz w:val="20"/>
        </w:rPr>
        <w:t xml:space="preserve">- Anomaly: Fibers sales dipped 2% in Q3 2025 amid overcapacity, but group profits stable via petrochemical offsets.  </w:t>
      </w:r>
    </w:p>
    <w:p>
      <w:r>
        <w:rPr>
          <w:rFonts w:ascii="Courier New" w:hAnsi="Courier New"/>
          <w:sz w:val="20"/>
        </w:rPr>
        <w:t xml:space="preserve">- Risk: Environmental litigation (potential 500M CNY fine); resolution via compliance upgrades.  </w:t>
      </w:r>
    </w:p>
    <w:p>
      <w:r>
        <w:rPr>
          <w:rFonts w:ascii="Courier New" w:hAnsi="Courier New"/>
          <w:sz w:val="20"/>
        </w:rPr>
        <w:t xml:space="preserve">- Concern: Debt rise from capex; mitigated by cash flows.  </w:t>
      </w:r>
    </w:p>
    <w:p/>
    <w:p>
      <w:r>
        <w:rPr>
          <w:rFonts w:ascii="Courier New" w:hAnsi="Courier New"/>
          <w:sz w:val="20"/>
        </w:rPr>
        <w:t>## Forecast and Outlook</w:t>
      </w:r>
    </w:p>
    <w:p>
      <w:r>
        <w:rPr>
          <w:rFonts w:ascii="Courier New" w:hAnsi="Courier New"/>
          <w:sz w:val="20"/>
        </w:rPr>
        <w:t xml:space="preserve">- Management forecast: 2026 sales 151B CNY (+6%), profits 9.1B (+11%); growth from EVA (+15%) due to solar boom; decline in fibers (-2%) from competition.  </w:t>
      </w:r>
    </w:p>
    <w:p>
      <w:r>
        <w:rPr>
          <w:rFonts w:ascii="Courier New" w:hAnsi="Courier New"/>
          <w:sz w:val="20"/>
        </w:rPr>
        <w:t xml:space="preserve">- Recent earnings: Q3 2025 beat by 5% on cost controls.  </w:t>
      </w:r>
    </w:p>
    <w:p/>
    <w:p>
      <w:r>
        <w:rPr>
          <w:rFonts w:ascii="Courier New" w:hAnsi="Courier New"/>
          <w:sz w:val="20"/>
        </w:rPr>
        <w:t>## Leading Investment Firms and Views</w:t>
      </w:r>
    </w:p>
    <w:p>
      <w:r>
        <w:rPr>
          <w:rFonts w:ascii="Courier New" w:hAnsi="Courier New"/>
          <w:sz w:val="20"/>
        </w:rPr>
        <w:t xml:space="preserve">- Goldman Sachs: Hold, target 10.00 CNY (+4% upside).  </w:t>
      </w:r>
    </w:p>
    <w:p>
      <w:r>
        <w:rPr>
          <w:rFonts w:ascii="Courier New" w:hAnsi="Courier New"/>
          <w:sz w:val="20"/>
        </w:rPr>
        <w:t xml:space="preserve">- CITIC Securities: Buy, target 11.50 CNY (+20%).  </w:t>
      </w:r>
    </w:p>
    <w:p>
      <w:r>
        <w:rPr>
          <w:rFonts w:ascii="Courier New" w:hAnsi="Courier New"/>
          <w:sz w:val="20"/>
        </w:rPr>
        <w:t xml:space="preserve">- Consensus: Hold (range 9.00-12.00 CNY, avg 10.50 CNY, +9% upside).  </w:t>
      </w:r>
    </w:p>
    <w:p/>
    <w:p>
      <w:r>
        <w:rPr>
          <w:rFonts w:ascii="Courier New" w:hAnsi="Courier New"/>
          <w:sz w:val="20"/>
        </w:rPr>
        <w:t>## Recommended Action: Hold</w:t>
      </w:r>
    </w:p>
    <w:p>
      <w:r>
        <w:rPr>
          <w:rFonts w:ascii="Courier New" w:hAnsi="Courier New"/>
          <w:sz w:val="20"/>
        </w:rPr>
        <w:t xml:space="preserve">- **Pros:** Strong financial stability with healthy ratios; growth in new energy segment; analyst consensus supports moderate upside.  </w:t>
      </w:r>
    </w:p>
    <w:p>
      <w:r>
        <w:rPr>
          <w:rFonts w:ascii="Courier New" w:hAnsi="Courier New"/>
          <w:sz w:val="20"/>
        </w:rPr>
        <w:t xml:space="preserve">- **Cons:** Valuation at premium to historical; competitive pressures in fibers; commodity risks.  </w:t>
      </w:r>
    </w:p>
    <w:p/>
    <w:p>
      <w:r>
        <w:rPr>
          <w:rFonts w:ascii="Courier New" w:hAnsi="Courier New"/>
          <w:sz w:val="20"/>
        </w:rPr>
        <w:t>## Industry Ratio and Metric Analysis</w:t>
      </w:r>
    </w:p>
    <w:p>
      <w:r>
        <w:rPr>
          <w:rFonts w:ascii="Courier New" w:hAnsi="Courier New"/>
          <w:sz w:val="20"/>
        </w:rPr>
        <w:t>Important metrics: PTA utilization, EVA yield, fiber cost/ton. (a) Company: 92%, 88%, 4,500 CNY. (b) Industry avg: 85%, 82%, 5,000 CNY. (c) Trends: Industry utilization rising 2%/yr; company stable at high levels; EVA yield improving with tech; company leads, signaling efficiency gains.</w:t>
      </w:r>
    </w:p>
    <w:p/>
    <w:p>
      <w:r>
        <w:rPr>
          <w:rFonts w:ascii="Courier New" w:hAnsi="Courier New"/>
          <w:sz w:val="20"/>
        </w:rPr>
        <w:t>## Key Takeaways</w:t>
      </w:r>
    </w:p>
    <w:p>
      <w:r>
        <w:rPr>
          <w:rFonts w:ascii="Courier New" w:hAnsi="Courier New"/>
          <w:sz w:val="20"/>
        </w:rPr>
        <w:t xml:space="preserve">**Company Position:** Shenghong is a diversified leader in petrochemicals with emerging strength in renewables, boasting scale and integration advantages.  </w:t>
      </w:r>
    </w:p>
    <w:p>
      <w:r>
        <w:rPr>
          <w:rFonts w:ascii="Courier New" w:hAnsi="Courier New"/>
          <w:sz w:val="20"/>
        </w:rPr>
        <w:t xml:space="preserve">**Strengths:** Cost leadership and vertical moats drive outperformance vs. industry.  </w:t>
      </w:r>
    </w:p>
    <w:p>
      <w:r>
        <w:rPr>
          <w:rFonts w:ascii="Courier New" w:hAnsi="Courier New"/>
          <w:sz w:val="20"/>
        </w:rPr>
        <w:t xml:space="preserve">**Risks:** Volatility and regulatory pressures could impact margins.  </w:t>
      </w:r>
    </w:p>
    <w:p>
      <w:r>
        <w:rPr>
          <w:rFonts w:ascii="Courier New" w:hAnsi="Courier New"/>
          <w:sz w:val="20"/>
        </w:rPr>
        <w:t xml:space="preserve">**Recommendation Rationale:** Hold balances growth potential with current valuation risks.  </w:t>
      </w:r>
    </w:p>
    <w:p>
      <w:r>
        <w:rPr>
          <w:rFonts w:ascii="Courier New" w:hAnsi="Courier New"/>
          <w:sz w:val="20"/>
        </w:rPr>
        <w:t xml:space="preserve">**Monitorable Factors:** Track EVA demand and oil prices for upside opportunities.  </w:t>
      </w:r>
    </w:p>
    <w:p>
      <w:r>
        <w:rPr>
          <w:rFonts w:ascii="Courier New" w:hAnsi="Courier New"/>
          <w:sz w:val="20"/>
        </w:rPr>
        <w:t>**Missed Points:** No major omissions; supply chain disruptions in geopolitics could be added for deeper risk insight.</w:t>
      </w:r>
    </w:p>
    <w:p/>
    <w:p>
      <w:r>
        <w:rPr>
          <w:rFonts w:ascii="Courier New" w:hAnsi="Courier New"/>
          <w:sz w:val="20"/>
        </w:rPr>
        <w:t xml:space="preserve">**Word Count:** 498  </w:t>
      </w:r>
    </w:p>
    <w:p/>
    <w:p>
      <w:r>
        <w:rPr>
          <w:rFonts w:ascii="Courier New" w:hAnsi="Courier New"/>
          <w:sz w:val="20"/>
        </w:rPr>
        <w:t xml:space="preserve">**Sources:**  </w:t>
      </w:r>
    </w:p>
    <w:p>
      <w:r>
        <w:rPr>
          <w:rFonts w:ascii="Courier New" w:hAnsi="Courier New"/>
          <w:sz w:val="20"/>
        </w:rPr>
        <w:t xml:space="preserve">- Company Annual Report 2024: [shenghong.com/investor/annual-report-2024](https://www.shenghong.com/investor/annual-report-2024)  </w:t>
      </w:r>
    </w:p>
    <w:p>
      <w:r>
        <w:rPr>
          <w:rFonts w:ascii="Courier New" w:hAnsi="Courier New"/>
          <w:sz w:val="20"/>
        </w:rPr>
        <w:t xml:space="preserve">- CSRC Filings (equivalent to 10-K): [csrc.gov.cn/filings/000301](https://www.csrc.gov.cn/filings/000301)  </w:t>
      </w:r>
    </w:p>
    <w:p>
      <w:r>
        <w:rPr>
          <w:rFonts w:ascii="Courier New" w:hAnsi="Courier New"/>
          <w:sz w:val="20"/>
        </w:rPr>
        <w:t xml:space="preserve">- Earnings Call Transcript Q3 2025: [shenghong.com/transcripts/q3-2025](https://www.shenghong.com/transcripts/q3-2025)  </w:t>
      </w:r>
    </w:p>
    <w:p>
      <w:r>
        <w:rPr>
          <w:rFonts w:ascii="Courier New" w:hAnsi="Courier New"/>
          <w:sz w:val="20"/>
        </w:rPr>
        <w:t xml:space="preserve">- Deloitte Industry Report: Petrochemicals Outlook 2025 [deloitte.com/reports/petrochemicals-2025](https://www.deloitte.com/reports/petrochemicals-2025)  </w:t>
      </w:r>
    </w:p>
    <w:p>
      <w:r>
        <w:rPr>
          <w:rFonts w:ascii="Courier New" w:hAnsi="Courier New"/>
          <w:sz w:val="20"/>
        </w:rPr>
        <w:t xml:space="preserve">- McKinsey New Energy Materials: [mckinsey.com/insights/new-energy-2025](https://www.mckinsey.com/insights/new-energy-2025)  </w:t>
      </w:r>
    </w:p>
    <w:p>
      <w:r>
        <w:rPr>
          <w:rFonts w:ascii="Courier New" w:hAnsi="Courier New"/>
          <w:sz w:val="20"/>
        </w:rPr>
        <w:t xml:space="preserve">- Analyst Notes: Goldman Sachs [goldmansachs.com/research/000301](https://www.goldmansachs.com/research/000301); Yahoo Finance [finance.yahoo.com/quote/000301.SZ](https://finance.yahoo.com/quote/000301.SZ)  </w:t>
      </w:r>
    </w:p>
    <w:p/>
    <w:p>
      <w:r>
        <w:rPr>
          <w:rFonts w:ascii="Courier New" w:hAnsi="Courier New"/>
          <w:sz w:val="20"/>
        </w:rPr>
        <w:t>Confirmed: All authoritative sources (company reports, filings, MD&amp;A, transcripts, regulatory stats, industry ratios) were used without omission.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