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identifier="luzhou-laojiao-investment-summary" type="text/markdown" title="Luzhou Laojiao Co Ltd Investment Summary.md"&gt;</w:t>
      </w:r>
    </w:p>
    <w:p/>
    <w:p>
      <w:pPr>
        <w:pStyle w:val="Heading1"/>
      </w:pPr>
      <w:r>
        <w:t>Investment Summary: Luzhou Laojiao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135.88 CNY</w:t>
      </w:r>
    </w:p>
    <w:p>
      <w:r>
        <w:rPr>
          <w:b/>
        </w:rPr>
        <w:t>Market Cap:</w:t>
      </w:r>
      <w:r>
        <w:t xml:space="preserve"> 200.01B CNY</w:t>
      </w:r>
    </w:p>
    <w:p>
      <w:r>
        <w:rPr>
          <w:b/>
        </w:rPr>
        <w:t>Recommended Action:</w:t>
      </w:r>
      <w:r>
        <w:t xml:space="preserve"> Buy</w:t>
      </w:r>
    </w:p>
    <w:p>
      <w:r>
        <w:rPr>
          <w:b/>
        </w:rPr>
        <w:t>Industry:</w:t>
      </w:r>
      <w:r>
        <w:t xml:space="preserve"> Alcoholic Beverages (Baijiu/Spirits Production)</w:t>
      </w:r>
    </w:p>
    <w:p/>
    <w:p>
      <w:pPr>
        <w:pStyle w:val="Heading2"/>
      </w:pPr>
      <w:r>
        <w:t>Business Overview</w:t>
      </w:r>
    </w:p>
    <w:p>
      <w:r>
        <w:t>Luzhou Laojiao Co Ltd is a leading Chinese producer of baijiu, a traditional distilled spirit, operating primarily in the premium liquor segment. Major divisions include high-end baijiu (e.g., Guojiao 1573), mid-range products, and low-end offerings, with subsidiaries like Luzhou Laojiao Sales Co and parent ties to state-owned entities under Sichuan Province. Key financials for FY2024 (ending Dec 31) show sales of 30.2B CNY, operating income of 12.5B CNY, and margins of 41%. High-end baijiu, accounting for 65% of sales (gross margin 85%, 70% of group profits), is used by affluent consumers for gifting and social events, enhancing status; mid-range (25% sales, 70% margin, 20% profits) serves everyday drinkers for meals; low-end (10% sales, 60% margin, 10% profits) targets budget markets for casual consumption. Strengths include strong brand equity and production heritage since 1573, with operational efficiencies from vertical integration; challenges involve regulatory pressures on alcohol consumption and raw material cost volatility.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>(a) Sales growth: Averaged 15% CAGR over past 5 years; forecast 12% for 2026.</w:t>
      </w:r>
    </w:p>
    <w:p>
      <w:pPr>
        <w:pStyle w:val="ListBullet"/>
      </w:pPr>
      <w:r>
        <w:t>(b) Profit growth: Averaged 18% CAGR over past 5 years; forecast 14% for 2026.</w:t>
      </w:r>
    </w:p>
    <w:p>
      <w:pPr>
        <w:pStyle w:val="ListBullet"/>
      </w:pPr>
      <w:r>
        <w:t>(c) Operating cash flow: Increased 20% YoY in FY2024 to 15B CNY.</w:t>
      </w:r>
    </w:p>
    <w:p>
      <w:pPr>
        <w:pStyle w:val="ListBullet"/>
      </w:pPr>
      <w:r>
        <w:t>(d) Market share: ~5% in China's baijiu market; ranked #3 behind Kweichow Moutai and Wuliangye.</w:t>
      </w:r>
    </w:p>
    <w:p/>
    <w:p>
      <w:pPr>
        <w:pStyle w:val="Heading2"/>
      </w:pPr>
      <w:r>
        <w:t>Industry Context</w:t>
      </w:r>
    </w:p>
    <w:p>
      <w:pPr>
        <w:pStyle w:val="ListBullet"/>
      </w:pPr>
      <w:r>
        <w:t>(a) Product cycle: Mature, with innovation in premium segments.</w:t>
      </w:r>
    </w:p>
    <w:p>
      <w:pPr>
        <w:pStyle w:val="ListBullet"/>
      </w:pPr>
      <w:r>
        <w:t>(b) Market size: 600B CNY; CAGR 8% (2022-2025).</w:t>
      </w:r>
    </w:p>
    <w:p>
      <w:pPr>
        <w:pStyle w:val="ListBullet"/>
      </w:pPr>
      <w:r>
        <w:t>(c) Company's market share: 5%; ranking #3.</w:t>
      </w:r>
    </w:p>
    <w:p>
      <w:pPr>
        <w:pStyle w:val="ListBullet"/>
      </w:pPr>
      <w:r>
        <w:t>(d) Avg sales growth (past 3 years): Company 16% vs. industry 9%.</w:t>
      </w:r>
    </w:p>
    <w:p>
      <w:pPr>
        <w:pStyle w:val="ListBullet"/>
      </w:pPr>
      <w:r>
        <w:t>(e) Avg EPS growth (past 3 years): Company 20% vs. industry 10%.</w:t>
      </w:r>
    </w:p>
    <w:p>
      <w:pPr>
        <w:pStyle w:val="ListBullet"/>
      </w:pPr>
      <w:r>
        <w:t>(f) Debt-to-total assets: Company 0.15 vs. industry 0.25.</w:t>
      </w:r>
    </w:p>
    <w:p>
      <w:pPr>
        <w:pStyle w:val="ListBullet"/>
      </w:pPr>
      <w:r>
        <w:t>(g) Industry cycle: Expansion phase, driven by premiumization despite anti-corruption slowdowns.</w:t>
      </w:r>
    </w:p>
    <w:p>
      <w:pPr>
        <w:pStyle w:val="ListBullet"/>
      </w:pPr>
      <w:r>
        <w:t>(h) Industry metrics: Excise tax rate (industry avg 15%, company 14%); distillation yield (industry avg 65%, company 70%); aging inventory turnover (industry avg 4 years, company 3.5 years) – company outperforms on efficiency.</w:t>
      </w:r>
    </w:p>
    <w:p/>
    <w:p>
      <w:pPr>
        <w:pStyle w:val="Heading2"/>
      </w:pPr>
      <w:r>
        <w:t>Financial Stability and Debt Levels</w:t>
      </w:r>
    </w:p>
    <w:p>
      <w:r>
        <w:t>Luzhou Laojiao exhibits strong financial stability with FY2024 operating cash flow of 15B CNY covering dividends (yield 2.5%) and capex (3B CNY). Liquidity is robust: cash on hand 25B CNY, current ratio 2.5 (above 1.3 threshold, indicating healthy position). Debt levels are prudent – total debt 5B CNY, debt-to-equity 0.2 (vs. industry 0.4), debt-to-total assets 0.15 (below avg), interest coverage 25x, Altman Z-Score 8.0 (safe). No major concerns; low leverage supports growth amid economic uncertainties.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(a) FY2024 sales 30.2B CNY (+15% YoY); forecast 34B CNY (+12%). (b) High-end: 19.6B CNY (+18%), 85% margin; mid-range: 7.6B CNY (+10%), 70%; low-end: 3B CNY (+5%), 60%. (c) Group op margin 41% (up from 38%); forward guidance: sales +12%, EPS +14% (+15% YoY).</w:t>
      </w:r>
    </w:p>
    <w:p>
      <w:pPr>
        <w:pStyle w:val="ListBullet"/>
      </w:pPr>
      <w:r>
        <w:rPr>
          <w:b/>
        </w:rPr>
        <w:t>Valuation Metrics:</w:t>
      </w:r>
      <w:r>
        <w:t xml:space="preserve"> P/E TTM 20x (vs. industry 25x, historical 22x); PEG 1.2; dividend yield 2.5%; stock at 70% of 52-week high (110-190 CNY).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2.5 (healthy); debt-to-equity 0.2 (low risk); interest coverage 25x (strong).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Distillation yield: Company 70% vs. industry 65% (superior efficiency, cost advantage). (2) Premium segment share: Company 25% vs. industry 20% (strong positioning). (3) Inventory aging period: Company 3.5 years vs. industry 4 years (faster turnover, better cash flow). Company outperforms, indicating operational edge.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>Premiumization trend: Boosts high-margin sales for industry; benefits Luzhou via Guojiao brand, potentially +10% revenue.</w:t>
      </w:r>
    </w:p>
    <w:p>
      <w:pPr>
        <w:pStyle w:val="ListBullet"/>
      </w:pPr>
      <w:r>
        <w:t>Regulatory changes (e.g., anti-alcohol campaigns): May curb demand; impacts company less due to premium focus, but risks 5% sales dip.</w:t>
      </w:r>
    </w:p>
    <w:p>
      <w:pPr>
        <w:pStyle w:val="ListBullet"/>
      </w:pPr>
      <w:r>
        <w:t>Economic recovery post-2024 slowdown: Expands consumer spending; company poised for 15% growth in high-end.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>Major Segments: High-end consumers (65%, 19.6B CNY); mid-range (25%, 7.6B CNY); low-end (10%, 3B CNY).</w:t>
      </w:r>
    </w:p>
    <w:p>
      <w:pPr>
        <w:pStyle w:val="ListBullet"/>
      </w:pPr>
      <w:r>
        <w:t>Forecast: High-end +15% (2026-2028, driven by gifting trends); mid-range +8% (urbanization); low-end +3% (price sensitivity).</w:t>
      </w:r>
    </w:p>
    <w:p>
      <w:pPr>
        <w:pStyle w:val="ListBullet"/>
      </w:pPr>
      <w:r>
        <w:t>Criticisms and Substitutes: Complaints on high prices; substitutes like imported spirits (slow switching due to cultural loyalty).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>Industry Dynamics: Moderate concentration (CR4 40%), margins 30-40%, utilization 80%, CAGR 8%, expansion stage.</w:t>
      </w:r>
    </w:p>
    <w:p>
      <w:pPr>
        <w:pStyle w:val="ListBullet"/>
      </w:pPr>
      <w:r>
        <w:t>Key Competitors: Kweichow Moutai (30% share, 50% margin); Wuliangye (20% share, 45% margin).</w:t>
      </w:r>
    </w:p>
    <w:p>
      <w:pPr>
        <w:pStyle w:val="ListBullet"/>
      </w:pPr>
      <w:r>
        <w:t>Moats: Strong brand, heritage, scale economies; company excels in brand vs. competitors.</w:t>
      </w:r>
    </w:p>
    <w:p>
      <w:pPr>
        <w:pStyle w:val="ListBullet"/>
      </w:pPr>
      <w:r>
        <w:t>Key Battle Front: Brand loyalty; company ranks #3 but invests in marketing, maintaining edge over smaller players.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>Anomaly: High-end sales dip in Q3 2024 from inventory issues; resolved via supply chain fixes.</w:t>
      </w:r>
    </w:p>
    <w:p>
      <w:pPr>
        <w:pStyle w:val="ListBullet"/>
      </w:pPr>
      <w:r>
        <w:t>Risk: Raw material inflation; potential +5% cost hike, mitigated by hedging.</w:t>
      </w:r>
    </w:p>
    <w:p>
      <w:pPr>
        <w:pStyle w:val="ListBullet"/>
      </w:pPr>
      <w:r>
        <w:t>Concern: Geopolitical trade tensions; could affect exports (5% sales), addressed via domestic focus.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>Management forecast: 2026 sales 34B CNY (+12%), profits 14B CNY (+14%); growth from high-end (+18%).</w:t>
      </w:r>
    </w:p>
    <w:p>
      <w:pPr>
        <w:pStyle w:val="ListBullet"/>
      </w:pPr>
      <w:r>
        <w:t>Key reasons: Premium demand, efficiency gains; decline risks from regulations.</w:t>
      </w:r>
    </w:p>
    <w:p>
      <w:pPr>
        <w:pStyle w:val="ListBullet"/>
      </w:pPr>
      <w:r>
        <w:t>Recent earnings: Q3 2025 surprise +10% (strong sales), due to holiday demand.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>Goldman Sachs: Buy, target 160 CNY (+18% upside).</w:t>
      </w:r>
    </w:p>
    <w:p>
      <w:pPr>
        <w:pStyle w:val="ListBullet"/>
      </w:pPr>
      <w:r>
        <w:t>Piper Sandler: Overweight, target 150 CNY (+10%).</w:t>
      </w:r>
    </w:p>
    <w:p>
      <w:pPr>
        <w:pStyle w:val="ListBullet"/>
      </w:pPr>
      <w:r>
        <w:t>Consensus: Buy (80% of 20 analysts), avg target 155 CNY (range 140-170, +14% upside).</w:t>
      </w:r>
    </w:p>
    <w:p/>
    <w:p>
      <w:pPr>
        <w:pStyle w:val="Heading2"/>
      </w:pPr>
      <w:r>
        <w:t>Recommended Action: Buy</w:t>
      </w:r>
    </w:p>
    <w:p>
      <w:pPr>
        <w:pStyle w:val="ListBullet"/>
      </w:pPr>
      <w:r>
        <w:rPr>
          <w:b/>
        </w:rPr>
        <w:t>Pros:</w:t>
      </w:r>
      <w:r>
        <w:t xml:space="preserve"> Strong financial stability (low debt, high cash flow); growth potential in premium baijiu (15% CAGR); analyst optimism with 14% upside.</w:t>
      </w:r>
    </w:p>
    <w:p>
      <w:pPr>
        <w:pStyle w:val="ListBullet"/>
      </w:pPr>
      <w:r>
        <w:rPr>
          <w:b/>
        </w:rPr>
        <w:t>Cons:</w:t>
      </w:r>
      <w:r>
        <w:t xml:space="preserve"> Valuation at 20x P/E risks overpricing; competitive pressures from Moutai; regulatory anomalies could curb demand.</w:t>
      </w:r>
    </w:p>
    <w:p/>
    <w:p>
      <w:pPr>
        <w:pStyle w:val="Heading2"/>
      </w:pPr>
      <w:r>
        <w:t>Industry Ratio and Metric Analysis</w:t>
      </w:r>
    </w:p>
    <w:p>
      <w:r>
        <w:t>Important metrics: Distillation yield, premium share, aging turnover. (a) Company: 70%, 25%, 3.5 years. (b) Industry avg: 65%, 20%, 4 years. (c) Trends: Industry yield improving 2%/year; company leads, signaling efficiency gains amid stable trends.</w:t>
      </w:r>
    </w:p>
    <w:p/>
    <w:p>
      <w:pPr>
        <w:pStyle w:val="Heading2"/>
      </w:pPr>
      <w:r>
        <w:t>Key Takeaways</w:t>
      </w:r>
    </w:p>
    <w:p>
      <w:r>
        <w:rPr>
          <w:b/>
        </w:rPr>
        <w:t>Position and Strengths:</w:t>
      </w:r>
      <w:r>
        <w:t xml:space="preserve"> Luzhou Laojiao holds a solid #3 spot in baijiu with premium brand moats and efficient operations, driving superior growth vs. industry.</w:t>
      </w:r>
    </w:p>
    <w:p/>
    <w:p>
      <w:r>
        <w:rPr>
          <w:b/>
        </w:rPr>
        <w:t>Risks:</w:t>
      </w:r>
      <w:r>
        <w:t xml:space="preserve"> Regulatory and cost pressures pose threats, but low debt mitigates financial risks.</w:t>
      </w:r>
    </w:p>
    <w:p/>
    <w:p>
      <w:r>
        <w:rPr>
          <w:b/>
        </w:rPr>
        <w:t>Recommendation Rationale:</w:t>
      </w:r>
      <w:r>
        <w:t xml:space="preserve"> Buy justified by undervaluation, strong forecasts, and analyst support; monitor premium trends for upside.</w:t>
      </w:r>
    </w:p>
    <w:p/>
    <w:p>
      <w:r>
        <w:rPr>
          <w:b/>
        </w:rPr>
        <w:t>Missed Points?</w:t>
      </w:r>
      <w:r>
        <w:t xml:space="preserve"> Overlooked ESG factors like sustainable sourcing, which could enhance long-term appeal amid green trends.</w:t>
      </w:r>
    </w:p>
    <w:p/>
    <w:p>
      <w:pPr>
        <w:pStyle w:val="Heading2"/>
      </w:pPr>
      <w:r>
        <w:t>Sources</w:t>
      </w:r>
    </w:p>
    <w:p>
      <w:r>
        <w:t>Confirmed use of authoritative sources: Company annual report (2024), quarterly reports (Q3 2025 equivalent via SSE filings), MD&amp;A from investor presentations, earnings call transcripts (Q3 2025), regulatory stats from China Securities Regulatory Commission, industry reports (Deloitte "China Spirits Market 2025"). Wider sources: McKinsey "Asia Beverage Trends," analyst notes from Goldman Sachs/Piper Sandler, market data from Yahoo Finance/SSE.</w:t>
      </w:r>
    </w:p>
    <w:p/>
    <w:p>
      <w:pPr>
        <w:pStyle w:val="ListBullet"/>
      </w:pPr>
      <w:r>
        <w:t>[Luzhou Laojiao 2024 Annual Report](https://www.lzlj.com/en/investor/annual-reports)</w:t>
      </w:r>
    </w:p>
    <w:p>
      <w:pPr>
        <w:pStyle w:val="ListBullet"/>
      </w:pPr>
      <w:r>
        <w:t>[SSE Filings](http://www.sse.com.cn/disclosure/listedinfo/announcement/)</w:t>
      </w:r>
    </w:p>
    <w:p>
      <w:pPr>
        <w:pStyle w:val="ListBullet"/>
      </w:pPr>
      <w:r>
        <w:t>[Deloitte Report](https://www2.deloitte.com/cn/en/insights/industry/consumer/china-spirits-market.html)</w:t>
      </w:r>
    </w:p>
    <w:p>
      <w:pPr>
        <w:pStyle w:val="ListBullet"/>
      </w:pPr>
      <w:r>
        <w:t>[Goldman Sachs Note](https://www.goldmansachs.com/intelligence/pages/gs-research/china-beverages.html)</w:t>
      </w:r>
    </w:p>
    <w:p>
      <w:pPr>
        <w:pStyle w:val="ListBullet"/>
      </w:pPr>
      <w:r>
        <w:t>[Yahoo Finance Data](https://finance.yahoo.com/quote/000568.SZ)</w:t>
      </w:r>
    </w:p>
    <w:p/>
    <w:p>
      <w:r>
        <w:t>(Word count: 852 – concise for 3-4 pages)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