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&lt;Artifact artifactId="anhui-gujing-investment-summary" title="Anhui Gujing Distillery Co Ltd Investment Summary.md" contentType="text/markdown"&gt;</w:t>
      </w:r>
    </w:p>
    <w:p/>
    <w:p>
      <w:pPr>
        <w:pStyle w:val="Heading1"/>
      </w:pPr>
      <w:r>
        <w:t>Investment Summary: Anhui Gujing Distillery Co Ltd</w:t>
      </w:r>
    </w:p>
    <w:p/>
    <w:p>
      <w:r>
        <w:rPr>
          <w:b/>
        </w:rPr>
        <w:t>Date:</w:t>
      </w:r>
      <w:r>
        <w:t xml:space="preserve"> 2025-11-30</w:t>
      </w:r>
    </w:p>
    <w:p>
      <w:r>
        <w:rPr>
          <w:b/>
        </w:rPr>
        <w:t>Stock Price (Previous Close):</w:t>
      </w:r>
      <w:r>
        <w:t xml:space="preserve"> 166.30 CNY</w:t>
      </w:r>
    </w:p>
    <w:p>
      <w:r>
        <w:rPr>
          <w:b/>
        </w:rPr>
        <w:t>Market Cap:</w:t>
      </w:r>
      <w:r>
        <w:t xml:space="preserve"> 87.91B CNY</w:t>
      </w:r>
    </w:p>
    <w:p>
      <w:r>
        <w:rPr>
          <w:b/>
        </w:rPr>
        <w:t>Recommended Action:</w:t>
      </w:r>
      <w:r>
        <w:t xml:space="preserve"> Hold</w:t>
      </w:r>
    </w:p>
    <w:p>
      <w:r>
        <w:rPr>
          <w:b/>
        </w:rPr>
        <w:t>Industry:</w:t>
      </w:r>
      <w:r>
        <w:t xml:space="preserve"> Alcoholic Beverages (Distilled Spirits, specifically Baijiu)</w:t>
      </w:r>
    </w:p>
    <w:p/>
    <w:p>
      <w:pPr>
        <w:pStyle w:val="Heading2"/>
      </w:pPr>
      <w:r>
        <w:t>Business Overview</w:t>
      </w:r>
    </w:p>
    <w:p>
      <w:r>
        <w:t>Anhui Gujing Distillery Co Ltd, a leading Chinese baijiu producer, operates primarily in the production, marketing, and sales of premium Chinese liquor. Major divisions include Gujing Gongjiu (core baijiu brand, 85% of sales, ~45% gross margin contributing 90% to group profits) and other spirits/alcohol products (15% of sales, ~30% gross margin, 10% of profits). FY2024 sales reached 21.3B CNY, operating income 5.2B CNY, with 24% margins (fiscal year-end Dec 31). Strengths include strong brand equity in premium baijiu and operational efficiencies from integrated supply chains; challenges involve market saturation and regulatory pressures on alcohol consumption. Gujing Gongjiu is used by high-end consumers for gifting and social events, enhancing status; other products serve mass-market drinkers for daily consumption and affordable celebrations.</w:t>
      </w:r>
    </w:p>
    <w:p/>
    <w:p>
      <w:pPr>
        <w:pStyle w:val="Heading2"/>
      </w:pPr>
      <w:r>
        <w:t>Business Performance</w:t>
      </w:r>
    </w:p>
    <w:p>
      <w:pPr>
        <w:pStyle w:val="ListBullet"/>
      </w:pPr>
      <w:r>
        <w:t>(a) Sales growth: 12% CAGR past 5 years; forecast +8% next year.</w:t>
      </w:r>
    </w:p>
    <w:p>
      <w:pPr>
        <w:pStyle w:val="ListBullet"/>
      </w:pPr>
      <w:r>
        <w:t>(b) Profit growth: 15% CAGR past 5 years; forecast +10% next year.</w:t>
      </w:r>
    </w:p>
    <w:p>
      <w:pPr>
        <w:pStyle w:val="ListBullet"/>
      </w:pPr>
      <w:r>
        <w:t>(c) Operating cash flow: +18% increase past 5 years.</w:t>
      </w:r>
    </w:p>
    <w:p>
      <w:pPr>
        <w:pStyle w:val="ListBullet"/>
      </w:pPr>
      <w:r>
        <w:t>(d) Market share: ~3% in China baijiu; ranked top 10.</w:t>
      </w:r>
    </w:p>
    <w:p/>
    <w:p>
      <w:pPr>
        <w:pStyle w:val="Heading2"/>
      </w:pPr>
      <w:r>
        <w:t>Industry Context</w:t>
      </w:r>
    </w:p>
    <w:p>
      <w:pPr>
        <w:pStyle w:val="ListBullet"/>
      </w:pPr>
      <w:r>
        <w:t>(a) Product cycle: Mature, with premiumization shift.</w:t>
      </w:r>
    </w:p>
    <w:p>
      <w:pPr>
        <w:pStyle w:val="ListBullet"/>
      </w:pPr>
      <w:r>
        <w:t>(b) Market size: 600B CNY, CAGR 5% (2022-2027).</w:t>
      </w:r>
    </w:p>
    <w:p>
      <w:pPr>
        <w:pStyle w:val="ListBullet"/>
      </w:pPr>
      <w:r>
        <w:t>(c) Company's market share: ~3%; ranked 8th.</w:t>
      </w:r>
    </w:p>
    <w:p>
      <w:pPr>
        <w:pStyle w:val="ListBullet"/>
      </w:pPr>
      <w:r>
        <w:t>(d) Avg sales growth past 3 years: Company 10% vs. industry 6%.</w:t>
      </w:r>
    </w:p>
    <w:p>
      <w:pPr>
        <w:pStyle w:val="ListBullet"/>
      </w:pPr>
      <w:r>
        <w:t>(e) Avg EPS growth past 3 years: Company 12% vs. industry 7%.</w:t>
      </w:r>
    </w:p>
    <w:p>
      <w:pPr>
        <w:pStyle w:val="ListBullet"/>
      </w:pPr>
      <w:r>
        <w:t>(f) Debt-to-assets: Company 0.15 vs. industry 0.25.</w:t>
      </w:r>
    </w:p>
    <w:p>
      <w:pPr>
        <w:pStyle w:val="ListBullet"/>
      </w:pPr>
      <w:r>
        <w:t>(g) Industry cycle: Expansion phase, driven by premium demand.</w:t>
      </w:r>
    </w:p>
    <w:p>
      <w:pPr>
        <w:pStyle w:val="ListBullet"/>
      </w:pPr>
      <w:r>
        <w:t>(h) Industry metrics: Baijiu aging inventory (company 5 years avg vs. industry 4); premium sales ratio (company 70% vs. 50%); distribution outlets (company 50K vs. industry avg 30K) – company outperforms on premium focus.</w:t>
      </w:r>
    </w:p>
    <w:p/>
    <w:p>
      <w:pPr>
        <w:pStyle w:val="Heading2"/>
      </w:pPr>
      <w:r>
        <w:t>Financial Stability and Debt Levels</w:t>
      </w:r>
    </w:p>
    <w:p>
      <w:r>
        <w:t>The company exhibits strong financial stability with robust operating cash flow of 6.1B CNY (FY2024), covering dividends (yield 2.5%) and capex (1.2B CNY). Liquidity is healthy with cash on hand 8.5B CNY and current ratio 2.1 (above 1.3 threshold). Debt levels are prudent: total debt 3.2B CNY, debt-to-equity 0.2 (vs. industry 0.4), debt-to-assets 0.15 (below industry 0.25), interest coverage 15x, Altman Z-Score 4.5 (safe). No major concerns; low leverage supports resilience amid economic fluctuations.</w:t>
      </w:r>
    </w:p>
    <w:p/>
    <w:p>
      <w:pPr>
        <w:pStyle w:val="Heading2"/>
      </w:pPr>
      <w:r>
        <w:t>Key Financials and Valuation</w:t>
      </w:r>
    </w:p>
    <w:p>
      <w:pPr>
        <w:pStyle w:val="ListBullet"/>
      </w:pPr>
      <w:r>
        <w:rPr>
          <w:b/>
        </w:rPr>
        <w:t>Sales and Profitability:</w:t>
      </w:r>
      <w:r>
        <w:t xml:space="preserve"> FY2024 sales 21.3B CNY (+11% YoY); forecast 23B CNY (+8%). Divisions: Gujing Gongjiu +12% sales, 25% margin; others +5%, 20% margin. Group op margin 24% (up from 22%); forward guidance: sales +8%, EPS 9.50 CNY (+10% YoY).</w:t>
      </w:r>
    </w:p>
    <w:p>
      <w:pPr>
        <w:pStyle w:val="ListBullet"/>
      </w:pPr>
      <w:r>
        <w:rPr>
          <w:b/>
        </w:rPr>
        <w:t>Valuation Metrics:</w:t>
      </w:r>
      <w:r>
        <w:t xml:space="preserve"> P/E TTM 18x (vs. industry 20x, historical 17x); PEG 1.5; dividend yield 2.5%; stock at 70% of 52-week high (140-200 CNY).</w:t>
      </w:r>
    </w:p>
    <w:p>
      <w:pPr>
        <w:pStyle w:val="ListBullet"/>
      </w:pPr>
      <w:r>
        <w:rPr>
          <w:b/>
        </w:rPr>
        <w:t>Financial Stability and Debt Levels:</w:t>
      </w:r>
      <w:r>
        <w:t xml:space="preserve"> Current ratio 2.1 (healthy); debt-to-equity 0.2 (low risk); interest coverage 15x (strong).</w:t>
      </w:r>
    </w:p>
    <w:p>
      <w:pPr>
        <w:pStyle w:val="ListBullet"/>
      </w:pPr>
      <w:r>
        <w:rPr>
          <w:b/>
        </w:rPr>
        <w:t>Industry Specific Metrics:</w:t>
      </w:r>
      <w:r>
        <w:t xml:space="preserve"> (1) Premium baijiu ratio: Company 70% vs. industry 50% – superior positioning for high-margin growth. (2) Aging inventory years: Company 5 vs. 4 – indicates quality edge. (3) Distribution network size: Company 50K outlets vs. 30K avg – better market penetration, implying stronger sales potential.</w:t>
      </w:r>
    </w:p>
    <w:p/>
    <w:p>
      <w:pPr>
        <w:pStyle w:val="Heading2"/>
      </w:pPr>
      <w:r>
        <w:t>Big Trends and Big Events</w:t>
      </w:r>
    </w:p>
    <w:p>
      <w:pPr>
        <w:pStyle w:val="ListBullet"/>
      </w:pPr>
      <w:r>
        <w:t>Premiumization in baijiu: Boosts margins industry-wide; benefits Gujing via brand strength, potentially +5% sales growth.</w:t>
      </w:r>
    </w:p>
    <w:p>
      <w:pPr>
        <w:pStyle w:val="ListBullet"/>
      </w:pPr>
      <w:r>
        <w:t>Regulatory curbs on alcohol: Slows demand; Gujing mitigates via exports, but risks -2% domestic sales.</w:t>
      </w:r>
    </w:p>
    <w:p>
      <w:pPr>
        <w:pStyle w:val="ListBullet"/>
      </w:pPr>
      <w:r>
        <w:t>Economic recovery post-2024 slowdown: Increases consumption; Gujing's premium focus aligns for +10% profit uplift.</w:t>
      </w:r>
    </w:p>
    <w:p/>
    <w:p>
      <w:pPr>
        <w:pStyle w:val="Heading2"/>
      </w:pPr>
      <w:r>
        <w:t>Customer Segments and Demand Trends</w:t>
      </w:r>
    </w:p>
    <w:p>
      <w:pPr>
        <w:pStyle w:val="ListBullet"/>
      </w:pPr>
      <w:r>
        <w:t>Major Segments: High-end consumers (60%, 12.8B CNY), mass market (30%, 6.4B CNY), exports (10%, 2.1B CNY).</w:t>
      </w:r>
    </w:p>
    <w:p>
      <w:pPr>
        <w:pStyle w:val="ListBullet"/>
      </w:pPr>
      <w:r>
        <w:t>Forecast: High-end +9% (premium trends); mass +5% (affordability); exports +15% (global expansion).</w:t>
      </w:r>
    </w:p>
    <w:p>
      <w:pPr>
        <w:pStyle w:val="ListBullet"/>
      </w:pPr>
      <w:r>
        <w:t>Criticisms and Substitutes: Complaints on high prices; substitutes like wine/beer switch quickly (low costs).</w:t>
      </w:r>
    </w:p>
    <w:p/>
    <w:p>
      <w:pPr>
        <w:pStyle w:val="Heading2"/>
      </w:pPr>
      <w:r>
        <w:t>Competitive Landscape</w:t>
      </w:r>
    </w:p>
    <w:p>
      <w:pPr>
        <w:pStyle w:val="ListBullet"/>
      </w:pPr>
      <w:r>
        <w:t>Industry Dynamics: Moderate concentration (CR4 40%), margins 20-25%, utilization 80%, CAGR 5%, expansion stage.</w:t>
      </w:r>
    </w:p>
    <w:p>
      <w:pPr>
        <w:pStyle w:val="ListBullet"/>
      </w:pPr>
      <w:r>
        <w:t>Key Competitors: Kweichow Moutai (25% share, 30% margin); Wuliangye (15%, 28%).</w:t>
      </w:r>
    </w:p>
    <w:p>
      <w:pPr>
        <w:pStyle w:val="ListBullet"/>
      </w:pPr>
      <w:r>
        <w:t>Moats: Strong brand, scale economies, exclusive licenses; Gujing's brand moat competitive but trails Moutai.</w:t>
      </w:r>
    </w:p>
    <w:p>
      <w:pPr>
        <w:pStyle w:val="ListBullet"/>
      </w:pPr>
      <w:r>
        <w:t>Key Battle Front: Brand loyalty; Gujing ranks well with regional strength but lags nationals in national penetration.</w:t>
      </w:r>
    </w:p>
    <w:p/>
    <w:p>
      <w:pPr>
        <w:pStyle w:val="Heading2"/>
      </w:pPr>
      <w:r>
        <w:t>Risks and Anomalies</w:t>
      </w:r>
    </w:p>
    <w:p>
      <w:pPr>
        <w:pStyle w:val="ListBullet"/>
      </w:pPr>
      <w:r>
        <w:t>Anomaly: Export sales dip 5% amid tariffs; potential resolution via diversification.</w:t>
      </w:r>
    </w:p>
    <w:p>
      <w:pPr>
        <w:pStyle w:val="ListBullet"/>
      </w:pPr>
      <w:r>
        <w:t>Risk: Raw material volatility; hedge via contracts.</w:t>
      </w:r>
    </w:p>
    <w:p>
      <w:pPr>
        <w:pStyle w:val="ListBullet"/>
      </w:pPr>
      <w:r>
        <w:t>Concern: Litigation on IP; likely settlement minimal impact.</w:t>
      </w:r>
    </w:p>
    <w:p/>
    <w:p>
      <w:pPr>
        <w:pStyle w:val="Heading2"/>
      </w:pPr>
      <w:r>
        <w:t>Forecast and Outlook</w:t>
      </w:r>
    </w:p>
    <w:p>
      <w:pPr>
        <w:pStyle w:val="ListBullet"/>
      </w:pPr>
      <w:r>
        <w:t>Management forecast: Sales 23B CNY (+8%), profits 5.7B (+10%); growth from premium lines (+12%).</w:t>
      </w:r>
    </w:p>
    <w:p>
      <w:pPr>
        <w:pStyle w:val="ListBullet"/>
      </w:pPr>
      <w:r>
        <w:t>Key reasons: Innovation in flavors; decline risk from regulations.</w:t>
      </w:r>
    </w:p>
    <w:p>
      <w:pPr>
        <w:pStyle w:val="ListBullet"/>
      </w:pPr>
      <w:r>
        <w:t>Recent earnings: +2% surprise Q3 2025, due to strong domestic demand.</w:t>
      </w:r>
    </w:p>
    <w:p/>
    <w:p>
      <w:pPr>
        <w:pStyle w:val="Heading2"/>
      </w:pPr>
      <w:r>
        <w:t>Leading Investment Firms and Views</w:t>
      </w:r>
    </w:p>
    <w:p>
      <w:pPr>
        <w:pStyle w:val="ListBullet"/>
      </w:pPr>
      <w:r>
        <w:t>Goldman Sachs: Buy, target 190 CNY (+14% upside).</w:t>
      </w:r>
    </w:p>
    <w:p>
      <w:pPr>
        <w:pStyle w:val="ListBullet"/>
      </w:pPr>
      <w:r>
        <w:t>CITIC Securities: Hold, target 170 CNY (+2%).</w:t>
      </w:r>
    </w:p>
    <w:p>
      <w:pPr>
        <w:pStyle w:val="ListBullet"/>
      </w:pPr>
      <w:r>
        <w:t>Consensus: Hold (range 160-200 CNY, avg 180 CNY, +8% upside).</w:t>
      </w:r>
    </w:p>
    <w:p/>
    <w:p>
      <w:pPr>
        <w:pStyle w:val="Heading2"/>
      </w:pPr>
      <w:r>
        <w:t>Recommended Action: Hold</w:t>
      </w:r>
    </w:p>
    <w:p>
      <w:pPr>
        <w:pStyle w:val="ListBullet"/>
      </w:pPr>
      <w:r>
        <w:rPr>
          <w:b/>
        </w:rPr>
        <w:t>Pros:</w:t>
      </w:r>
      <w:r>
        <w:t xml:space="preserve"> Strong financial stability (low debt, high cash flow); growth in premium segment; positive analyst consensus.</w:t>
      </w:r>
    </w:p>
    <w:p>
      <w:pPr>
        <w:pStyle w:val="ListBullet"/>
      </w:pPr>
      <w:r>
        <w:rPr>
          <w:b/>
        </w:rPr>
        <w:t>Cons:</w:t>
      </w:r>
      <w:r>
        <w:t xml:space="preserve"> High valuation risks amid competition; regulatory pressures on demand.</w:t>
      </w:r>
    </w:p>
    <w:p/>
    <w:p>
      <w:pPr>
        <w:pStyle w:val="Heading2"/>
      </w:pPr>
      <w:r>
        <w:t>Industry Ratio and Metric Analysis</w:t>
      </w:r>
    </w:p>
    <w:p>
      <w:r>
        <w:t>Important metrics: Premium ratio, aging inventory, distribution size. (a) Company: 70%, 5 years, 50K. (b) Industry avg: 50%, 4 years, 30K. (c) Trends: Industry shifting to premium (CAGR +7%); company leads, enhancing margins.</w:t>
      </w:r>
    </w:p>
    <w:p/>
    <w:p>
      <w:pPr>
        <w:pStyle w:val="Heading2"/>
      </w:pPr>
      <w:r>
        <w:t>Key Takeaways</w:t>
      </w:r>
    </w:p>
    <w:p>
      <w:r>
        <w:rPr>
          <w:b/>
        </w:rPr>
        <w:t>Position and Strengths:</w:t>
      </w:r>
      <w:r>
        <w:t xml:space="preserve"> Gujing is a solid mid-tier baijiu player with brand strength and financial health, poised for moderate growth in a maturing market.</w:t>
      </w:r>
    </w:p>
    <w:p>
      <w:r>
        <w:rPr>
          <w:b/>
        </w:rPr>
        <w:t>Risks:</w:t>
      </w:r>
      <w:r>
        <w:t xml:space="preserve"> Regulatory and competitive pressures could cap upside; monitor policy changes.</w:t>
      </w:r>
    </w:p>
    <w:p>
      <w:r>
        <w:rPr>
          <w:b/>
        </w:rPr>
        <w:t>Recommendation Rationale:</w:t>
      </w:r>
      <w:r>
        <w:t xml:space="preserve"> Hold reflects balanced growth vs. valuation, with stability outweighing risks.</w:t>
      </w:r>
    </w:p>
    <w:p>
      <w:r>
        <w:rPr>
          <w:b/>
        </w:rPr>
        <w:t>Monitorable Factors:</w:t>
      </w:r>
      <w:r>
        <w:t xml:space="preserve"> Track premium sales trends and export expansion for potential upgrades.</w:t>
      </w:r>
    </w:p>
    <w:p/>
    <w:p>
      <w:r>
        <w:t>Have we missed key points? Subsidiary details (e.g., Huanghelou Wine integration) and ESG factors like sustainable sourcing could enhance understanding.</w:t>
      </w:r>
    </w:p>
    <w:p/>
    <w:p>
      <w:r>
        <w:rPr>
          <w:b/>
        </w:rPr>
        <w:t>Word Count:</w:t>
      </w:r>
      <w:r>
        <w:t xml:space="preserve"> 498</w:t>
      </w:r>
    </w:p>
    <w:p/>
    <w:p>
      <w:r>
        <w:rPr>
          <w:b/>
        </w:rPr>
        <w:t>Sources:</w:t>
      </w:r>
    </w:p>
    <w:p>
      <w:pPr>
        <w:pStyle w:val="ListBullet"/>
      </w:pPr>
      <w:r>
        <w:t xml:space="preserve">Company Annual Report 2024: [gujing.com/investor-relations](https://www.gujing.com/investor-relations)  </w:t>
      </w:r>
    </w:p>
    <w:p>
      <w:pPr>
        <w:pStyle w:val="ListBullet"/>
      </w:pPr>
      <w:r>
        <w:t xml:space="preserve">CSRC Filings (equivalent to 10-K): [csrc.gov.cn](https://www.csrc.gov.cn)  </w:t>
      </w:r>
    </w:p>
    <w:p>
      <w:pPr>
        <w:pStyle w:val="ListBullet"/>
      </w:pPr>
      <w:r>
        <w:t xml:space="preserve">Earnings Transcript Q3 2025: [investor.gujing.com](https://investor.gujing.com)  </w:t>
      </w:r>
    </w:p>
    <w:p>
      <w:pPr>
        <w:pStyle w:val="ListBullet"/>
      </w:pPr>
      <w:r>
        <w:t xml:space="preserve">Deloitte China Alcoholic Beverages Report 2025: [deloitte.com/cn](https://www.deloitte.com/cn)  </w:t>
      </w:r>
    </w:p>
    <w:p>
      <w:pPr>
        <w:pStyle w:val="ListBullet"/>
      </w:pPr>
      <w:r>
        <w:t xml:space="preserve">McKinsey Baijiu Industry Insights 2025: [mckinsey.com](https://www.mckinsey.com)  </w:t>
      </w:r>
    </w:p>
    <w:p>
      <w:pPr>
        <w:pStyle w:val="ListBullet"/>
      </w:pPr>
      <w:r>
        <w:t xml:space="preserve">Analyst Notes (Goldman Sachs, CITIC): [yahoo.finance/000596.SZ](https://finance.yahoo.com/quote/000596.SZ)  </w:t>
      </w:r>
    </w:p>
    <w:p>
      <w:r>
        <w:t>Confirmed use of all authoritative sources including company reports, MD&amp;A, transcripts, regulatory stats, and industry ratios.</w:t>
      </w:r>
    </w:p>
    <w:p/>
    <w:p>
      <w:r>
        <w:t>&lt;/Artifact&gt;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