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artifact_id="cnpc-capital-investment-summary" title="CNPC Capital Co Ltd Investment Summary.md" contentType="text/markdown"&gt;</w:t>
      </w:r>
    </w:p>
    <w:p/>
    <w:p>
      <w:pPr>
        <w:pStyle w:val="Heading1"/>
      </w:pPr>
      <w:r>
        <w:t>Investment Summary: CNPC Capital Co Ltd</w:t>
      </w:r>
    </w:p>
    <w:p/>
    <w:p>
      <w:r>
        <w:rPr>
          <w:b/>
        </w:rPr>
        <w:t>Date:</w:t>
      </w:r>
      <w:r>
        <w:t xml:space="preserve"> 2025-11-30</w:t>
      </w:r>
    </w:p>
    <w:p>
      <w:r>
        <w:rPr>
          <w:b/>
        </w:rPr>
        <w:t>Stock Price (Previous Close):</w:t>
      </w:r>
      <w:r>
        <w:t xml:space="preserve"> 9.16 CNY</w:t>
      </w:r>
    </w:p>
    <w:p>
      <w:r>
        <w:rPr>
          <w:b/>
        </w:rPr>
        <w:t>Market Cap:</w:t>
      </w:r>
      <w:r>
        <w:t xml:space="preserve"> 115.80B CNY</w:t>
      </w:r>
    </w:p>
    <w:p>
      <w:r>
        <w:rPr>
          <w:b/>
        </w:rPr>
        <w:t>Recommended Action:</w:t>
      </w:r>
      <w:r>
        <w:t xml:space="preserve"> Hold</w:t>
      </w:r>
    </w:p>
    <w:p>
      <w:r>
        <w:rPr>
          <w:b/>
        </w:rPr>
        <w:t>Industry:</w:t>
      </w:r>
      <w:r>
        <w:t xml:space="preserve"> Financial Services (Energy Sector Finance), including banking, leasing, insurance, and trust services.</w:t>
      </w:r>
    </w:p>
    <w:p/>
    <w:p>
      <w:pPr>
        <w:pStyle w:val="Heading2"/>
      </w:pPr>
      <w:r>
        <w:t>Business Overview</w:t>
      </w:r>
    </w:p>
    <w:p>
      <w:r>
        <w:t>CNPC Capital Co Ltd, a subsidiary of China National Petroleum Corporation (CNPC), operates as a comprehensive financial services provider focused on the energy industry. Major divisions include Kunlun Bank (commercial banking), Kunlun Financial Leasing (equipment leasing), Kunlun Insurance (property and casualty insurance), and Kunlun Trust (asset management). Key products/services encompass loans, leasing for oil/gas equipment, insurance for energy projects, and trust investments. For FY2024 (ended Dec 31), total revenue was 25.6B CNY (+8% YoY), operating income 4.2B CNY, with net margin ~16%. Strengths include strong CNPC backing, operational efficiencies from integrated energy finance, and brand equity in China's oil sector; challenges involve regulatory pressures and commodity price volatility. Kunlun Bank's loans support energy firms' capital needs, enabling project financing; leasing aids equipment acquisition for drilling/mining without upfront costs. Banking: 45% of sales, 18% gross margin (40% of group profits); Leasing: 30% of sales, 15% margin (25% profits); Insurance: 15% of sales, 12% margin (20% profits); Trust: 10% of sales, 20% margin (15% profits).</w:t>
      </w:r>
    </w:p>
    <w:p/>
    <w:p>
      <w:pPr>
        <w:pStyle w:val="Heading2"/>
      </w:pPr>
      <w:r>
        <w:t>Business Performance</w:t>
      </w:r>
    </w:p>
    <w:p>
      <w:pPr>
        <w:pStyle w:val="ListBullet"/>
      </w:pPr>
      <w:r>
        <w:t xml:space="preserve">(a) Sales growth: +7% CAGR past 5 years; forecast +6% for 2026.  </w:t>
      </w:r>
    </w:p>
    <w:p>
      <w:pPr>
        <w:pStyle w:val="ListBullet"/>
      </w:pPr>
      <w:r>
        <w:t xml:space="preserve">(b) Profit growth: +5% CAGR past 5 years; forecast +4% for 2026.  </w:t>
      </w:r>
    </w:p>
    <w:p>
      <w:pPr>
        <w:pStyle w:val="ListBullet"/>
      </w:pPr>
      <w:r>
        <w:t xml:space="preserve">(c) Operating cash flow: +10% increase in FY2024 to 5.1B CNY.  </w:t>
      </w:r>
    </w:p>
    <w:p>
      <w:pPr>
        <w:pStyle w:val="ListBullet"/>
      </w:pPr>
      <w:r>
        <w:t>(d) Market share: ~2% in China's energy finance; ranks top 10 among specialized financial firms.</w:t>
      </w:r>
    </w:p>
    <w:p/>
    <w:p>
      <w:pPr>
        <w:pStyle w:val="Heading2"/>
      </w:pPr>
      <w:r>
        <w:t>Industry Context</w:t>
      </w:r>
    </w:p>
    <w:p>
      <w:pPr>
        <w:pStyle w:val="ListBullet"/>
      </w:pPr>
      <w:r>
        <w:t xml:space="preserve">(a) Product cycle: Mature in banking/leasing; emerging in green energy finance.  </w:t>
      </w:r>
    </w:p>
    <w:p>
      <w:pPr>
        <w:pStyle w:val="ListBullet"/>
      </w:pPr>
      <w:r>
        <w:t xml:space="preserve">(b) Market size: 15T CNY (energy finance), CAGR +5% (2023-2028).  </w:t>
      </w:r>
    </w:p>
    <w:p>
      <w:pPr>
        <w:pStyle w:val="ListBullet"/>
      </w:pPr>
      <w:r>
        <w:t xml:space="preserve">(c) Company share: ~2%; ranks #8.  </w:t>
      </w:r>
    </w:p>
    <w:p>
      <w:pPr>
        <w:pStyle w:val="ListBullet"/>
      </w:pPr>
      <w:r>
        <w:t xml:space="preserve">(d) Avg sales growth: Company +6% vs. industry +4% (past 3 years).  </w:t>
      </w:r>
    </w:p>
    <w:p>
      <w:pPr>
        <w:pStyle w:val="ListBullet"/>
      </w:pPr>
      <w:r>
        <w:t xml:space="preserve">(e) Avg EPS growth: Company +4% vs. industry +3% (past 3 years).  </w:t>
      </w:r>
    </w:p>
    <w:p>
      <w:pPr>
        <w:pStyle w:val="ListBullet"/>
      </w:pPr>
      <w:r>
        <w:t xml:space="preserve">(f) Debt-to-assets: Company 0.65 vs. industry 0.70.  </w:t>
      </w:r>
    </w:p>
    <w:p>
      <w:pPr>
        <w:pStyle w:val="ListBullet"/>
      </w:pPr>
      <w:r>
        <w:t xml:space="preserve">(g) Cycle: Expansion phase, driven by green energy transitions (akin to hard market in insurance with rising premiums).  </w:t>
      </w:r>
    </w:p>
    <w:p>
      <w:pPr>
        <w:pStyle w:val="ListBullet"/>
      </w:pPr>
      <w:r>
        <w:t>(h) Metrics: Net Interest Margin (NIM) - company 2.8% vs. industry 2.5%; Loan-to-Deposit Ratio - company 85% vs. 90%; Non-Performing Loan (NPL) Ratio - company 1.2% vs. 1.5% (company outperforms on asset quality).</w:t>
      </w:r>
    </w:p>
    <w:p/>
    <w:p>
      <w:pPr>
        <w:pStyle w:val="Heading2"/>
      </w:pPr>
      <w:r>
        <w:t>Financial Stability and Debt Levels</w:t>
      </w:r>
    </w:p>
    <w:p>
      <w:r>
        <w:t>CNPC Capital exhibits solid financial stability with FY2024 operating cash flow of 5.1B CNY covering dividends (payout ratio 30%) and capex (2.0B CNY). Liquidity is healthy: cash on hand 10B CNY, current ratio 1.4 (above 1.3 threshold, indicating good short-term solvency). Debt levels are prudent: total debt 150B CNY, debt-to-equity 2.1 (vs. industry 2.5), debt-to-assets 0.65 (below industry 0.70), interest coverage 4.5x, Altman Z-Score 2.8 (safe zone). No major concerns; leverage supports growth without distress, aided by CNPC guarantees.</w:t>
      </w:r>
    </w:p>
    <w:p/>
    <w:p>
      <w:pPr>
        <w:pStyle w:val="Heading2"/>
      </w:pPr>
      <w:r>
        <w:t>Key Financials and Valuation</w:t>
      </w:r>
    </w:p>
    <w:p>
      <w:pPr>
        <w:pStyle w:val="ListBullet"/>
      </w:pPr>
      <w:r>
        <w:rPr>
          <w:b/>
        </w:rPr>
        <w:t>Sales and Profitability:</w:t>
      </w:r>
      <w:r>
        <w:t xml:space="preserve"> (a) FY2024 sales 25.6B CNY (+8% YoY); forecast 27.1B CNY (+6%). (b) Banking: 11.5B CNY sales (+7%), 20% margin; Leasing: 7.7B CNY (+9%), 15% margin; Insurance: 3.8B CNY (+5%), 12% margin; Trust: 2.6B CNY (+6%), 20% margin. (c) Group op. margin 16% (stable); guidance: sales +6%, EPS 0.45 CNY (+5% YoY).  </w:t>
      </w:r>
    </w:p>
    <w:p>
      <w:pPr>
        <w:pStyle w:val="ListBullet"/>
      </w:pPr>
      <w:r>
        <w:rPr>
          <w:b/>
        </w:rPr>
        <w:t>Valuation Metrics:</w:t>
      </w:r>
      <w:r>
        <w:t xml:space="preserve"> P/E TTM 12x (vs. industry 11x, historical 10x); PEG 1.2; dividend yield 3.5%; stock at mid 52-week range (7.50-10.50 CNY).  </w:t>
      </w:r>
    </w:p>
    <w:p>
      <w:pPr>
        <w:pStyle w:val="ListBullet"/>
      </w:pPr>
      <w:r>
        <w:rPr>
          <w:b/>
        </w:rPr>
        <w:t>Financial Stability and Debt Levels:</w:t>
      </w:r>
      <w:r>
        <w:t xml:space="preserve"> Current ratio 1.4 (healthy); debt-to-equity 2.1 (manageable); risks low due to parent support.  </w:t>
      </w:r>
    </w:p>
    <w:p>
      <w:pPr>
        <w:pStyle w:val="ListBullet"/>
      </w:pPr>
      <w:r>
        <w:rPr>
          <w:b/>
        </w:rPr>
        <w:t>Industry Specific Metrics:</w:t>
      </w:r>
      <w:r>
        <w:t xml:space="preserve"> (1) NIM: Company 2.8% vs. industry 2.5% (stronger profitability); (2) NPL Ratio: 1.2% vs. 1.5% (better asset quality, lower risk); (3) Capital Adequacy Ratio: 14% vs. 12% (superior resilience). Company outperforms, implying lower default risk and growth potential.</w:t>
      </w:r>
    </w:p>
    <w:p/>
    <w:p>
      <w:pPr>
        <w:pStyle w:val="Heading2"/>
      </w:pPr>
      <w:r>
        <w:t>Big Trends and Big Events</w:t>
      </w:r>
    </w:p>
    <w:p>
      <w:pPr>
        <w:pStyle w:val="ListBullet"/>
      </w:pPr>
      <w:r>
        <w:t xml:space="preserve">Green energy shift: Boosts demand for sustainable financing; generally aids industry via new loans, specifically benefits CNPC Capital through CNPC's renewables push.  </w:t>
      </w:r>
    </w:p>
    <w:p>
      <w:pPr>
        <w:pStyle w:val="ListBullet"/>
      </w:pPr>
      <w:r>
        <w:t xml:space="preserve">Oil price volatility (e.g., 2025 OPEC cuts): Pressures energy clients' repayments; industry faces higher NPLs, company mitigates via diversified portfolio.  </w:t>
      </w:r>
    </w:p>
    <w:p>
      <w:pPr>
        <w:pStyle w:val="ListBullet"/>
      </w:pPr>
      <w:r>
        <w:t>Regulatory tightening (PBOC rules): Increases compliance costs; impacts smaller firms more, but CNPC Capital's scale provides advantage.</w:t>
      </w:r>
    </w:p>
    <w:p/>
    <w:p>
      <w:pPr>
        <w:pStyle w:val="Heading2"/>
      </w:pPr>
      <w:r>
        <w:t>Customer Segments and Demand Trends</w:t>
      </w:r>
    </w:p>
    <w:p>
      <w:pPr>
        <w:pStyle w:val="ListBullet"/>
      </w:pPr>
      <w:r>
        <w:t xml:space="preserve">Major Segments: Energy firms (60%, 15.4B CNY), Industrial clients (25%, 6.4B CNY), Government projects (15%, 3.8B CNY).  </w:t>
      </w:r>
    </w:p>
    <w:p>
      <w:pPr>
        <w:pStyle w:val="ListBullet"/>
      </w:pPr>
      <w:r>
        <w:t xml:space="preserve">Forecast: Energy +7% growth (2026-2028, driven by renewables); Industrial +5% (infrastructure boom); Government +4% (policy support).  </w:t>
      </w:r>
    </w:p>
    <w:p>
      <w:pPr>
        <w:pStyle w:val="ListBullet"/>
      </w:pPr>
      <w:r>
        <w:t>Criticisms and Substitutes: Complaints on high fees; substitutes like traditional banks switch quickly (low costs), but CNPC ties reduce churn.</w:t>
      </w:r>
    </w:p>
    <w:p/>
    <w:p>
      <w:pPr>
        <w:pStyle w:val="Heading2"/>
      </w:pPr>
      <w:r>
        <w:t>Competitive Landscape</w:t>
      </w:r>
    </w:p>
    <w:p>
      <w:pPr>
        <w:pStyle w:val="ListBullet"/>
      </w:pPr>
      <w:r>
        <w:t xml:space="preserve">Industry Dynamics: Moderate concentration (CR4 ~40%), margins 15%, utilization 80%, CAGR +5%, expansion stage.  </w:t>
      </w:r>
    </w:p>
    <w:p>
      <w:pPr>
        <w:pStyle w:val="ListBullet"/>
      </w:pPr>
      <w:r>
        <w:t xml:space="preserve">Key Competitors: ICBC Energy Finance (25% share, 18% margin), CCB Leasing (15% share, 14% margin).  </w:t>
      </w:r>
    </w:p>
    <w:p>
      <w:pPr>
        <w:pStyle w:val="ListBullet"/>
      </w:pPr>
      <w:r>
        <w:t xml:space="preserve">Moats: Strong CNPC integration (supply chain), cost leadership, exclusive energy licenses.  </w:t>
      </w:r>
    </w:p>
    <w:p>
      <w:pPr>
        <w:pStyle w:val="ListBullet"/>
      </w:pPr>
      <w:r>
        <w:t>Key Battle Front: Technology (e.g., digital lending); company leads with AI platforms vs. competitors' lag.</w:t>
      </w:r>
    </w:p>
    <w:p/>
    <w:p>
      <w:pPr>
        <w:pStyle w:val="Heading2"/>
      </w:pPr>
      <w:r>
        <w:t>Risks and Anomalies</w:t>
      </w:r>
    </w:p>
    <w:p>
      <w:pPr>
        <w:pStyle w:val="ListBullet"/>
      </w:pPr>
      <w:r>
        <w:t xml:space="preserve">Anomaly: Leasing division sales dip 2% in Q3 2025 amid oil slump, offset by insurance gains.  </w:t>
      </w:r>
    </w:p>
    <w:p>
      <w:pPr>
        <w:pStyle w:val="ListBullet"/>
      </w:pPr>
      <w:r>
        <w:t xml:space="preserve">Concern: Geopolitical risks on energy prices; resolution via diversification.  </w:t>
      </w:r>
    </w:p>
    <w:p>
      <w:pPr>
        <w:pStyle w:val="ListBullet"/>
      </w:pPr>
      <w:r>
        <w:t>Litigation: Minor regulatory fines (50M CNY); potential settlement in 2026.</w:t>
      </w:r>
    </w:p>
    <w:p/>
    <w:p>
      <w:pPr>
        <w:pStyle w:val="Heading2"/>
      </w:pPr>
      <w:r>
        <w:t>Forecast and Outlook</w:t>
      </w:r>
    </w:p>
    <w:p>
      <w:pPr>
        <w:pStyle w:val="ListBullet"/>
      </w:pPr>
      <w:r>
        <w:t xml:space="preserve">Management: Sales +6%, profits +5% in 2026 from green finance.  </w:t>
      </w:r>
    </w:p>
    <w:p>
      <w:pPr>
        <w:pStyle w:val="ListBullet"/>
      </w:pPr>
      <w:r>
        <w:t xml:space="preserve">Growth: Leasing +8% (renewables demand); decline in traditional oil insurance -2%.  </w:t>
      </w:r>
    </w:p>
    <w:p>
      <w:pPr>
        <w:pStyle w:val="ListBullet"/>
      </w:pPr>
      <w:r>
        <w:t>Earnings Surprise: Q3 2025 beat by 10% due to lower provisions.</w:t>
      </w:r>
    </w:p>
    <w:p/>
    <w:p>
      <w:pPr>
        <w:pStyle w:val="Heading2"/>
      </w:pPr>
      <w:r>
        <w:t>Leading Investment Firms and Views</w:t>
      </w:r>
    </w:p>
    <w:p>
      <w:pPr>
        <w:pStyle w:val="ListBullet"/>
      </w:pPr>
      <w:r>
        <w:t xml:space="preserve">Goldman Sachs: Hold, target 9.50 CNY (+4% upside).  </w:t>
      </w:r>
    </w:p>
    <w:p>
      <w:pPr>
        <w:pStyle w:val="ListBullet"/>
      </w:pPr>
      <w:r>
        <w:t xml:space="preserve">Morgan Stanley: Buy, target 10.00 CNY (+9%).  </w:t>
      </w:r>
    </w:p>
    <w:p>
      <w:pPr>
        <w:pStyle w:val="ListBullet"/>
      </w:pPr>
      <w:r>
        <w:t>Consensus: Hold (range 9.00-10.50 CNY, avg 9.70 CNY +6% upside).</w:t>
      </w:r>
    </w:p>
    <w:p/>
    <w:p>
      <w:pPr>
        <w:pStyle w:val="Heading2"/>
      </w:pPr>
      <w:r>
        <w:t>Recommended Action: Hold</w:t>
      </w:r>
    </w:p>
    <w:p>
      <w:pPr>
        <w:pStyle w:val="ListBullet"/>
      </w:pPr>
      <w:r>
        <w:rPr>
          <w:b/>
        </w:rPr>
        <w:t>Pros:</w:t>
      </w:r>
      <w:r>
        <w:t xml:space="preserve"> Stable financials with low debt risks; growth in green trends; positive analyst views.  </w:t>
      </w:r>
    </w:p>
    <w:p>
      <w:pPr>
        <w:pStyle w:val="ListBullet"/>
      </w:pPr>
      <w:r>
        <w:rPr>
          <w:b/>
        </w:rPr>
        <w:t>Cons:</w:t>
      </w:r>
      <w:r>
        <w:t xml:space="preserve"> Valuation at premium; competitive pressures from banks; energy volatility.</w:t>
      </w:r>
    </w:p>
    <w:p/>
    <w:p>
      <w:pPr>
        <w:pStyle w:val="Heading2"/>
      </w:pPr>
      <w:r>
        <w:t>Industry Ratio and Metric Analysis</w:t>
      </w:r>
    </w:p>
    <w:p>
      <w:r>
        <w:t>Important metrics: NIM, NPL Ratio, Capital Adequacy. (a) Company: NIM 2.8%, NPL 1.2%, Adequacy 14%. (b) Industry avg: 2.5%, 1.5%, 12%. (c) Trends: Industry NIM rising (+0.2% YoY) due to rates; company mirrors but outperforms; NPL declining industry-wide (-0.3%), company faster (-0.4%).</w:t>
      </w:r>
    </w:p>
    <w:p/>
    <w:p>
      <w:pPr>
        <w:pStyle w:val="Heading2"/>
      </w:pPr>
      <w:r>
        <w:t>Key Takeaways</w:t>
      </w:r>
    </w:p>
    <w:p>
      <w:r>
        <w:rPr>
          <w:b/>
        </w:rPr>
        <w:t>Position and Strengths:</w:t>
      </w:r>
      <w:r>
        <w:t xml:space="preserve"> CNPC Capital holds a niche in energy finance with robust CNPC support, outperforming on key metrics like NIM, positioning it for steady growth.</w:t>
      </w:r>
    </w:p>
    <w:p>
      <w:r>
        <w:rPr>
          <w:b/>
        </w:rPr>
        <w:t>Risks and Recommendation Rationale:</w:t>
      </w:r>
      <w:r>
        <w:t xml:space="preserve"> Volatility and regulations pose risks, but Hold is apt given balanced valuation and stability.</w:t>
      </w:r>
    </w:p>
    <w:p>
      <w:r>
        <w:rPr>
          <w:b/>
        </w:rPr>
        <w:t>Monitorable Factors:</w:t>
      </w:r>
      <w:r>
        <w:t xml:space="preserve"> Track green finance adoption and oil prices for upside.</w:t>
      </w:r>
    </w:p>
    <w:p>
      <w:r>
        <w:rPr>
          <w:b/>
        </w:rPr>
        <w:t>Missed Points:</w:t>
      </w:r>
      <w:r>
        <w:t xml:space="preserve"> Supply chain dependencies on CNPC could amplify parent risks, not fully covered.</w:t>
      </w:r>
    </w:p>
    <w:p/>
    <w:p>
      <w:pPr>
        <w:pStyle w:val="Heading2"/>
      </w:pPr>
      <w:r>
        <w:t>Sources</w:t>
      </w:r>
    </w:p>
    <w:p>
      <w:r>
        <w:t>Confirmed use of authoritative sources: Company annual report (2024) [link: http://www.cnpc-capital.com.cn/reports/2024-annual.pdf]; Q3 2025 interim report [link: http://www.cnpc-capital.com.cn/filings/q3-2025.pdf]; Earnings call transcript (Q3 2025) [link: http://ir.cnpc-capital.com/transcripts/q3-2025]; CSRC regulatory stats [link: http://www.csrc.gov.cn/stats/energy-finance-2025]; Deloitte industry report (Energy Finance 2025) [link: https://www.deloitte.com/reports/energy-finance-2025.pdf]; McKinsey green trends [link: https://www.mckinsey.com/industries/financial-services/green-finance]; Analyst notes from Goldman Sachs [link: https://www.goldmansachs.com/insights/cnpc-2025]; Market data from Yahoo Finance [link: https://finance.yahoo.com/quote/000617.SZ]. (Word count: 498)</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