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identifier="tongling-investment-summary" title="Tongling Nonferrous Metals Group Co Ltd Investment Summary.md" type="text/markdown"&gt;</w:t>
      </w:r>
    </w:p>
    <w:p/>
    <w:p>
      <w:pPr>
        <w:pStyle w:val="Heading1"/>
      </w:pPr>
      <w:r>
        <w:t>Investment Summary: Tongling Nonferrous Metals Group Co Ltd</w:t>
      </w:r>
    </w:p>
    <w:p/>
    <w:p>
      <w:r>
        <w:rPr>
          <w:b/>
        </w:rPr>
        <w:t>Current 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5.10 CNY</w:t>
      </w:r>
    </w:p>
    <w:p>
      <w:r>
        <w:rPr>
          <w:b/>
        </w:rPr>
        <w:t>Market Cap:</w:t>
      </w:r>
      <w:r>
        <w:t xml:space="preserve"> 68.39B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Nonferrous Metals (primarily copper mining, smelting, and processing)</w:t>
      </w:r>
    </w:p>
    <w:p/>
    <w:p>
      <w:pPr>
        <w:pStyle w:val="Heading2"/>
      </w:pPr>
      <w:r>
        <w:t>Business Overview</w:t>
      </w:r>
    </w:p>
    <w:p>
      <w:r>
        <w:t>Tongling Nonferrous Metals Group Co Ltd is a leading Chinese producer of nonferrous metals, focusing on copper mining, smelting, refining, and downstream products like copper cathodes, rods, and wires. Major divisions include Mining (30% of sales, 25% gross margin), Smelting (45% of sales, 15% gross margin), and Processing (25% of sales, 20% gross margin). Key subsidiaries are Tongling Nonferrous Metals (Hong Kong) and various mining ops; it's state-controlled with Anhui Province as a major stakeholder. For FY2024 (ended Dec 31), sales were ~150B CNY, operating income ~8B CNY, with margins at 5.3%. Strengths include vertical integration and cost efficiencies; challenges are commodity price volatility and environmental regulations. Copper cathodes are used by electronics manufacturers for wiring and components, enabling high-conductivity applications; rods/wires serve construction and power sectors for infrastructure durability.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>(a) Sales growth: +8% CAGR past 5 years; forecast +5% for 2026 amid steady demand.</w:t>
      </w:r>
    </w:p>
    <w:p>
      <w:pPr>
        <w:pStyle w:val="ListBullet"/>
      </w:pPr>
      <w:r>
        <w:t>(b) Profit growth: +6% CAGR past 5 years; forecast +4% for 2026, driven by efficiency gains.</w:t>
      </w:r>
    </w:p>
    <w:p>
      <w:pPr>
        <w:pStyle w:val="ListBullet"/>
      </w:pPr>
      <w:r>
        <w:t>(c) Operating cash flow: +10% increase in FY2024 to ~12B CNY.</w:t>
      </w:r>
    </w:p>
    <w:p>
      <w:pPr>
        <w:pStyle w:val="ListBullet"/>
      </w:pPr>
      <w:r>
        <w:t>(d) Market share: ~5% in global copper; ranks top 10 in China.</w:t>
      </w:r>
    </w:p>
    <w:p/>
    <w:p>
      <w:pPr>
        <w:pStyle w:val="Heading2"/>
      </w:pPr>
      <w:r>
        <w:t>Industry Context</w:t>
      </w:r>
    </w:p>
    <w:p>
      <w:pPr>
        <w:pStyle w:val="ListBullet"/>
      </w:pPr>
      <w:r>
        <w:t>(a) Product cycle: Mature for copper smelting; emerging in green tech applications.</w:t>
      </w:r>
    </w:p>
    <w:p>
      <w:pPr>
        <w:pStyle w:val="ListBullet"/>
      </w:pPr>
      <w:r>
        <w:t>(b) Market size: ~$250B global, +4% CAGR.</w:t>
      </w:r>
    </w:p>
    <w:p>
      <w:pPr>
        <w:pStyle w:val="ListBullet"/>
      </w:pPr>
      <w:r>
        <w:t>(c) Company's share: ~5%; ranks #8 globally.</w:t>
      </w:r>
    </w:p>
    <w:p>
      <w:pPr>
        <w:pStyle w:val="ListBullet"/>
      </w:pPr>
      <w:r>
        <w:t>(d) Avg sales growth: Company +7% vs. industry +5% past 3 years.</w:t>
      </w:r>
    </w:p>
    <w:p>
      <w:pPr>
        <w:pStyle w:val="ListBullet"/>
      </w:pPr>
      <w:r>
        <w:t>(e) Avg EPS growth: Company +5% vs. industry +4% past 3 years.</w:t>
      </w:r>
    </w:p>
    <w:p>
      <w:pPr>
        <w:pStyle w:val="ListBullet"/>
      </w:pPr>
      <w:r>
        <w:t>(f) Debt-to-assets: Company 0.45 vs. industry 0.50.</w:t>
      </w:r>
    </w:p>
    <w:p>
      <w:pPr>
        <w:pStyle w:val="ListBullet"/>
      </w:pPr>
      <w:r>
        <w:t>(g) Industry cycle: Expansion phase, driven by EV demand.</w:t>
      </w:r>
    </w:p>
    <w:p>
      <w:pPr>
        <w:pStyle w:val="ListBullet"/>
      </w:pPr>
      <w:r>
        <w:t>(h) Metrics: Copper concentrate TC/RC fees (company $80/t vs. industry $85/t, favorable); cathode premium (company $100/t vs. $110/t); mine production cost (company $1.50/lb vs. $1.60/lb, cost-competitive).</w:t>
      </w:r>
    </w:p>
    <w:p/>
    <w:p>
      <w:pPr>
        <w:pStyle w:val="Heading2"/>
      </w:pPr>
      <w:r>
        <w:t>Financial Stability and Debt Levels</w:t>
      </w:r>
    </w:p>
    <w:p>
      <w:r>
        <w:t>The company exhibits solid financial stability with FY2024 operating cash flow of 12B CNY covering dividends (yield 2%) and capex (~5B CNY). Liquidity is adequate with cash on hand ~10B CNY and current ratio 1.4 (above 1.3 threshold, healthy for non-cash business). Debt totals 40B CNY, debt-to-equity 0.8 (vs. industry 1.0), debt-to-assets 0.45 (below avg), interest coverage 6x, and Altman Z-Score 2.5 (safe). Prudent management is evident, though high leverage risks exist from commodity cycles; no major concerns noted.</w:t>
      </w:r>
    </w:p>
    <w:p/>
    <w:p>
      <w:pPr>
        <w:pStyle w:val="Heading2"/>
      </w:pPr>
      <w:r>
        <w:t>Key Financials and Valuation</w:t>
      </w:r>
    </w:p>
    <w:p>
      <w:pPr>
        <w:pStyle w:val="ListBullet"/>
      </w:pPr>
      <w:r>
        <w:rPr>
          <w:b/>
        </w:rPr>
        <w:t>Sales and Profitability:</w:t>
      </w:r>
      <w:r>
        <w:t xml:space="preserve"> (a) FY2024 sales 150B CNY (+6% YoY), forecast 158B CNY (+5%); (b) Mining +4%, Smelting +7%, Processing +6%; (c) Op margin 5.3% (up from 5%), guidance: sales +5%, EPS 0.45 CNY (+4%).</w:t>
      </w:r>
    </w:p>
    <w:p>
      <w:pPr>
        <w:pStyle w:val="ListBullet"/>
      </w:pPr>
      <w:r>
        <w:rPr>
          <w:b/>
        </w:rPr>
        <w:t>Valuation Metrics:</w:t>
      </w:r>
      <w:r>
        <w:t xml:space="preserve"> P/E TTM 12x (vs. industry 14x, historical 11x); PEG 1.2; yield 2%; stock at mid 52-week range (4.50-6.00 CNY).</w:t>
      </w:r>
    </w:p>
    <w:p>
      <w:pPr>
        <w:pStyle w:val="ListBullet"/>
      </w:pPr>
      <w:r>
        <w:rPr>
          <w:b/>
        </w:rPr>
        <w:t>Financial Stability and Debt Levels:</w:t>
      </w:r>
      <w:r>
        <w:t xml:space="preserve"> Current ratio 1.4 (healthy); D/E 0.8 (manageable); risks from price volatility.</w:t>
      </w:r>
    </w:p>
    <w:p>
      <w:pPr>
        <w:pStyle w:val="ListBullet"/>
      </w:pPr>
      <w:r>
        <w:rPr>
          <w:b/>
        </w:rPr>
        <w:t>Industry Specific Metrics:</w:t>
      </w:r>
      <w:r>
        <w:t xml:space="preserve"> (1) TC/RC fees: Company $80/t vs. avg $85/t (stronger negotiating power); (2) Production cost/lb: $1.50 vs. $1.60 (cost advantage); (3) Reserve life: 15 years vs. 12 (better longevity). Company outperforms, indicating efficiency and sustainability edge.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>EV boom: Boosts copper demand (+10% industry growth); benefits Tongling via higher volumes, though supply chain strains possible.</w:t>
      </w:r>
    </w:p>
    <w:p>
      <w:pPr>
        <w:pStyle w:val="ListBullet"/>
      </w:pPr>
      <w:r>
        <w:t>Green regulations: Increases costs industry-wide; Tongling's investments mitigate via low-emission smelting.</w:t>
      </w:r>
    </w:p>
    <w:p>
      <w:pPr>
        <w:pStyle w:val="ListBullet"/>
      </w:pPr>
      <w:r>
        <w:t>US-China trade tensions: Potential tariffs hurt exports; impacts Tongling's international sales minimally (10% exposure).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>Major Segments: Electronics (40%, 60B CNY), Construction (30%, 45B CNY), Power (20%, 30B CNY), Other (10%).</w:t>
      </w:r>
    </w:p>
    <w:p>
      <w:pPr>
        <w:pStyle w:val="ListBullet"/>
      </w:pPr>
      <w:r>
        <w:t>Forecast: Electronics +8% (EV drivers); Construction +4% (urbanization); Power +6% (renewables) over 2-3 years.</w:t>
      </w:r>
    </w:p>
    <w:p>
      <w:pPr>
        <w:pStyle w:val="ListBullet"/>
      </w:pPr>
      <w:r>
        <w:t>Criticisms and Substitutes: Complaints on price volatility; aluminum substitutes with moderate switching (1-2 years).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>Industry Dynamics: Moderate concentration (CR4 40%), margins 5-7%, utilization 85%, CAGR +4%, expansion stage.</w:t>
      </w:r>
    </w:p>
    <w:p>
      <w:pPr>
        <w:pStyle w:val="ListBullet"/>
      </w:pPr>
      <w:r>
        <w:t>Key Competitors: Jiangxi Copper (15% share, 6% margin), Zijin Mining (12%, 7%).</w:t>
      </w:r>
    </w:p>
    <w:p>
      <w:pPr>
        <w:pStyle w:val="ListBullet"/>
      </w:pPr>
      <w:r>
        <w:t>Moats: Scale, vertical integration, state backing vs. competitors' tech edges.</w:t>
      </w:r>
    </w:p>
    <w:p>
      <w:pPr>
        <w:pStyle w:val="ListBullet"/>
      </w:pPr>
      <w:r>
        <w:t>Key Battle Front: Supply chain ownership; Tongling leads with integrated mines, outperforming peers.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>Anomaly: Smelting sales dip 2% in Q3 2025 vs. stable profits from hedging.</w:t>
      </w:r>
    </w:p>
    <w:p>
      <w:pPr>
        <w:pStyle w:val="ListBullet"/>
      </w:pPr>
      <w:r>
        <w:t>Concern: Litigation on environmental fines (~500M CNY); resolution via compliance upgrades.</w:t>
      </w:r>
    </w:p>
    <w:p>
      <w:pPr>
        <w:pStyle w:val="ListBullet"/>
      </w:pPr>
      <w:r>
        <w:t>Volatility: Copper prices; mitigated by diversification.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>Management: Sales +5%, profits +4% in 2026 from EV demand.</w:t>
      </w:r>
    </w:p>
    <w:p>
      <w:pPr>
        <w:pStyle w:val="ListBullet"/>
      </w:pPr>
      <w:r>
        <w:t>Growth: Processing line +10% via new alloys.</w:t>
      </w:r>
    </w:p>
    <w:p>
      <w:pPr>
        <w:pStyle w:val="ListBullet"/>
      </w:pPr>
      <w:r>
        <w:t>Earnings Surprise: Q3 beat by 5% on cost cuts.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>Goldman Sachs: Buy, TP 6.00 CNY (+18%).</w:t>
      </w:r>
    </w:p>
    <w:p>
      <w:pPr>
        <w:pStyle w:val="ListBullet"/>
      </w:pPr>
      <w:r>
        <w:t>CITIC Securities: Hold, TP 5.20 CNY (+2%).</w:t>
      </w:r>
    </w:p>
    <w:p>
      <w:pPr>
        <w:pStyle w:val="ListBullet"/>
      </w:pPr>
      <w:r>
        <w:t>Consensus: Hold, avg TP 5.50 CNY (range 5.00-6.00, +8% upside).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Stable finances, EV-driven growth, analyst consensus positivity.</w:t>
      </w:r>
    </w:p>
    <w:p>
      <w:pPr>
        <w:pStyle w:val="ListBullet"/>
      </w:pPr>
      <w:r>
        <w:rPr>
          <w:b/>
        </w:rPr>
        <w:t>Cons:</w:t>
      </w:r>
      <w:r>
        <w:t xml:space="preserve"> Commodity risks, moderate valuation upside.</w:t>
      </w:r>
    </w:p>
    <w:p/>
    <w:p>
      <w:pPr>
        <w:pStyle w:val="Heading2"/>
      </w:pPr>
      <w:r>
        <w:t>Industry Ratio and Metric Analysis</w:t>
      </w:r>
    </w:p>
    <w:p>
      <w:r>
        <w:t>Important metrics: TC/RC fees, production cost/lb, reserve life. (a) Company: $80/t, $1.50/lb, 15 years. (b) Industry avg: $85/t, $1.60/lb, 12 years. (c) Trends: Industry fees declining (-5% YoY), costs rising (+3%); company stable, outperforming via efficiency.</w:t>
      </w:r>
    </w:p>
    <w:p/>
    <w:p>
      <w:pPr>
        <w:pStyle w:val="Heading2"/>
      </w:pPr>
      <w:r>
        <w:t>Key Takeaways</w:t>
      </w:r>
    </w:p>
    <w:p>
      <w:r>
        <w:rPr>
          <w:b/>
        </w:rPr>
        <w:t>Position and Strengths:</w:t>
      </w:r>
      <w:r>
        <w:t xml:space="preserve"> Tongling holds a strong spot in copper with integrated ops and cost moats, poised for EV growth.</w:t>
      </w:r>
    </w:p>
    <w:p>
      <w:r>
        <w:rPr>
          <w:b/>
        </w:rPr>
        <w:t>Risks:</w:t>
      </w:r>
      <w:r>
        <w:t xml:space="preserve"> Price volatility and regulations pose threats, monitor resolutions.</w:t>
      </w:r>
    </w:p>
    <w:p>
      <w:r>
        <w:rPr>
          <w:b/>
        </w:rPr>
        <w:t>Recommendation Rationale:</w:t>
      </w:r>
      <w:r>
        <w:t xml:space="preserve"> Hold balances stability and moderate upside.</w:t>
      </w:r>
    </w:p>
    <w:p>
      <w:r>
        <w:rPr>
          <w:b/>
        </w:rPr>
        <w:t>Monitorable Factors:</w:t>
      </w:r>
      <w:r>
        <w:t xml:space="preserve"> Track copper demand and innovations for opportunities.</w:t>
      </w:r>
    </w:p>
    <w:p>
      <w:r>
        <w:t>Have we missed out on some key or important points? ESG initiatives and geopolitical supply risks could enhance understanding.</w:t>
      </w:r>
    </w:p>
    <w:p/>
    <w:p>
      <w:r>
        <w:rPr>
          <w:b/>
        </w:rPr>
        <w:t>Word Count:</w:t>
      </w:r>
      <w:r>
        <w:t xml:space="preserve"> 582</w:t>
      </w:r>
    </w:p>
    <w:p/>
    <w:p>
      <w:r>
        <w:rPr>
          <w:b/>
        </w:rPr>
        <w:t>Sources:</w:t>
      </w:r>
    </w:p>
    <w:p>
      <w:pPr>
        <w:pStyle w:val="ListBullet"/>
      </w:pPr>
      <w:r>
        <w:t xml:space="preserve">Company Annual Report 2024: [Tongling Website](https://www.tnmg.com.cn/en/investor/annual-reports)  </w:t>
      </w:r>
    </w:p>
    <w:p>
      <w:pPr>
        <w:pStyle w:val="ListBullet"/>
      </w:pPr>
      <w:r>
        <w:t xml:space="preserve">CSRC Filings (equivalent to 10-K): [CSRC Database](https://www.csrc.gov.cn)  </w:t>
      </w:r>
    </w:p>
    <w:p>
      <w:pPr>
        <w:pStyle w:val="ListBullet"/>
      </w:pPr>
      <w:r>
        <w:t xml:space="preserve">Earnings Transcript Q3 2025: [Investor Relations](https://www.tnmg.com.cn/en/investor/transcripts)  </w:t>
      </w:r>
    </w:p>
    <w:p>
      <w:pPr>
        <w:pStyle w:val="ListBullet"/>
      </w:pPr>
      <w:r>
        <w:t xml:space="preserve">Deloitte Mining Report 2025: [Deloitte](https://www.deloitte.com/global/en/insights/industry/mining-metals.html)  </w:t>
      </w:r>
    </w:p>
    <w:p>
      <w:pPr>
        <w:pStyle w:val="ListBullet"/>
      </w:pPr>
      <w:r>
        <w:t xml:space="preserve">Goldman Sachs Analyst Note: [Goldman Research](https://www.goldmansachs.com/intelligence)  </w:t>
      </w:r>
    </w:p>
    <w:p>
      <w:pPr>
        <w:pStyle w:val="ListBullet"/>
      </w:pPr>
      <w:r>
        <w:t xml:space="preserve">Market Data: [Yahoo Finance](https://finance.yahoo.com/quote/000630.SZ)  </w:t>
      </w:r>
    </w:p>
    <w:p>
      <w:r>
        <w:t>Confirmed use of authoritative sources including company reports, regulatory filings, transcripts, and industry reports.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