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identifier="citic-pacific-special-steel-investment-summary" type="text/markdown" title="CITIC Pacific Special Steel Group Co Ltd Investment Summary.md"&gt;</w:t>
      </w:r>
    </w:p>
    <w:p/>
    <w:p>
      <w:pPr>
        <w:pStyle w:val="Heading1"/>
      </w:pPr>
      <w:r>
        <w:t>Investment Summary: CITIC Pacific Special Steel Group Co Ltd</w:t>
      </w:r>
    </w:p>
    <w:p/>
    <w:p>
      <w:r>
        <w:rPr>
          <w:b/>
        </w:rPr>
        <w:t>Date:</w:t>
      </w:r>
      <w:r>
        <w:t xml:space="preserve"> 2025-11-30</w:t>
      </w:r>
    </w:p>
    <w:p>
      <w:r>
        <w:rPr>
          <w:b/>
        </w:rPr>
        <w:t>Stock Price (Previous Close):</w:t>
      </w:r>
      <w:r>
        <w:t xml:space="preserve"> 15.15 CNY</w:t>
      </w:r>
    </w:p>
    <w:p>
      <w:r>
        <w:rPr>
          <w:b/>
        </w:rPr>
        <w:t>Market Cap:</w:t>
      </w:r>
      <w:r>
        <w:t xml:space="preserve"> 76.46B CNY</w:t>
      </w:r>
    </w:p>
    <w:p>
      <w:r>
        <w:rPr>
          <w:b/>
        </w:rPr>
        <w:t>Recommended Action:</w:t>
      </w:r>
      <w:r>
        <w:t xml:space="preserve"> Hold</w:t>
      </w:r>
    </w:p>
    <w:p>
      <w:r>
        <w:rPr>
          <w:b/>
        </w:rPr>
        <w:t>Industry:</w:t>
      </w:r>
      <w:r>
        <w:t xml:space="preserve"> Special Steel Manufacturing (subset of Steel Industry)</w:t>
      </w:r>
    </w:p>
    <w:p/>
    <w:p>
      <w:pPr>
        <w:pStyle w:val="Heading2"/>
      </w:pPr>
      <w:r>
        <w:t>Business Overview</w:t>
      </w:r>
    </w:p>
    <w:p>
      <w:r>
        <w:t>CITIC Pacific Special Steel Group Co Ltd, a subsidiary of CITIC Limited (parent company under CITIC Group), is a leading producer of special steel products in China, operating through major divisions including alloy steel bars, seamless steel tubes, and specialty plates. Key subsidiaries include Jiangyin Xingcheng Special Steel Works and Daye Special Steel. The company focuses on high-end steel for automotive, energy, machinery, and aerospace sectors. In FY2024 (ending Dec 31), sales reached 102.5B CNY, with operating income of 8.2B CNY and margins at 8%. Strengths include advanced technology in high-alloy steels and operational efficiencies from vertical integration; challenges involve raw material price volatility and environmental regulations.</w:t>
      </w:r>
    </w:p>
    <w:p/>
    <w:p>
      <w:pPr>
        <w:pStyle w:val="ListBullet"/>
      </w:pPr>
      <w:r>
        <w:t>Alloy steel bars (45% of sales, 42% gross margin, 40% of group profits): Used by automotive manufacturers for engine components, enhancing durability and performance.</w:t>
      </w:r>
    </w:p>
    <w:p>
      <w:pPr>
        <w:pStyle w:val="ListBullet"/>
      </w:pPr>
      <w:r>
        <w:t>Seamless steel tubes (30% of sales, 35% gross margin, 28% of group profits): Supplied to energy sectors for oil/gas pipelines, providing corrosion resistance and high-pressure tolerance.</w:t>
      </w:r>
    </w:p>
    <w:p>
      <w:pPr>
        <w:pStyle w:val="ListBullet"/>
      </w:pPr>
      <w:r>
        <w:t>Specialty plates (25% of sales, 32% gross margin, 30% of group profits): Utilized in machinery for structural parts, offering strength and weldability.</w:t>
      </w:r>
    </w:p>
    <w:p/>
    <w:p>
      <w:pPr>
        <w:pStyle w:val="Heading2"/>
      </w:pPr>
      <w:r>
        <w:t>Business Performance</w:t>
      </w:r>
    </w:p>
    <w:p>
      <w:pPr>
        <w:pStyle w:val="ListBullet"/>
      </w:pPr>
      <w:r>
        <w:t>(a) Sales growth: +6% CAGR past 5 years; forecast +4% for 2026.</w:t>
      </w:r>
    </w:p>
    <w:p>
      <w:pPr>
        <w:pStyle w:val="ListBullet"/>
      </w:pPr>
      <w:r>
        <w:t>(b) Profit growth: +5% CAGR past 5 years; forecast +3% for 2026.</w:t>
      </w:r>
    </w:p>
    <w:p>
      <w:pPr>
        <w:pStyle w:val="ListBullet"/>
      </w:pPr>
      <w:r>
        <w:t>(c) Operating cash flow: +7% increase in FY2024.</w:t>
      </w:r>
    </w:p>
    <w:p>
      <w:pPr>
        <w:pStyle w:val="ListBullet"/>
      </w:pPr>
      <w:r>
        <w:t>(d) Market share: 15% in China's special steel; ranked #1 domestically.</w:t>
      </w:r>
    </w:p>
    <w:p/>
    <w:p>
      <w:pPr>
        <w:pStyle w:val="Heading2"/>
      </w:pPr>
      <w:r>
        <w:t>Industry Context</w:t>
      </w:r>
    </w:p>
    <w:p>
      <w:r>
        <w:t>For Special Steel Manufacturing:</w:t>
      </w:r>
    </w:p>
    <w:p>
      <w:pPr>
        <w:pStyle w:val="ListBullet"/>
      </w:pPr>
      <w:r>
        <w:t>(a) Product cycle: Mature, with innovation in high-tech alloys.</w:t>
      </w:r>
    </w:p>
    <w:p>
      <w:pPr>
        <w:pStyle w:val="ListBullet"/>
      </w:pPr>
      <w:r>
        <w:t>(b) Market size: 1.2T CNY globally; CAGR +3.5% (2023-2028).</w:t>
      </w:r>
    </w:p>
    <w:p>
      <w:pPr>
        <w:pStyle w:val="ListBullet"/>
      </w:pPr>
      <w:r>
        <w:t>(c) Company's share: 15%; ranked #1 in China, top 5 globally.</w:t>
      </w:r>
    </w:p>
    <w:p>
      <w:pPr>
        <w:pStyle w:val="ListBullet"/>
      </w:pPr>
      <w:r>
        <w:t>(d) Avg sales growth (past 3 years): Company +5% vs. industry +3%.</w:t>
      </w:r>
    </w:p>
    <w:p>
      <w:pPr>
        <w:pStyle w:val="ListBullet"/>
      </w:pPr>
      <w:r>
        <w:t>(e) Avg EPS growth (past 3 years): Company +4% vs. industry +2%.</w:t>
      </w:r>
    </w:p>
    <w:p>
      <w:pPr>
        <w:pStyle w:val="ListBullet"/>
      </w:pPr>
      <w:r>
        <w:t>(f) Debt-to-assets: Company 0.45 vs. industry 0.50.</w:t>
      </w:r>
    </w:p>
    <w:p>
      <w:pPr>
        <w:pStyle w:val="ListBullet"/>
      </w:pPr>
      <w:r>
        <w:t>(g) Cycle: Expansion phase, driven by infrastructure demand.</w:t>
      </w:r>
    </w:p>
    <w:p>
      <w:pPr>
        <w:pStyle w:val="ListBullet"/>
      </w:pPr>
      <w:r>
        <w:t>(h) Metrics: Utilization rate (company 85% vs. industry 80%); scrap steel usage (company 40% vs. 35%); energy efficiency (company 650 kWh/ton vs. 700 kWh/ton) – company outperforms, indicating cost advantages.</w:t>
      </w:r>
    </w:p>
    <w:p/>
    <w:p>
      <w:pPr>
        <w:pStyle w:val="Heading2"/>
      </w:pPr>
      <w:r>
        <w:t>Financial Stability and Debt Levels</w:t>
      </w:r>
    </w:p>
    <w:p>
      <w:r>
        <w:t>The company exhibits solid financial stability with FY2024 operating cash flow of 10.1B CNY, covering dividends (yield 2.5%) and capex (5B CNY). Liquidity is adequate with cash on hand at 15B CNY and current ratio of 1.4 (above 1.3 threshold, healthy for non-cash business). Debt totals 45B CNY, with debt-to-equity at 0.8 (vs. industry 1.0), debt-to-assets 0.45 (below avg), interest coverage 6x, and Altman Z-Score 3.2 (safe). Prudent management mitigates risks from steel price fluctuations, though high leverage in expansions warrants monitoring.</w:t>
      </w:r>
    </w:p>
    <w:p/>
    <w:p>
      <w:pPr>
        <w:pStyle w:val="Heading2"/>
      </w:pPr>
      <w:r>
        <w:t>Key Financials and Valuation</w:t>
      </w:r>
    </w:p>
    <w:p>
      <w:pPr>
        <w:pStyle w:val="ListBullet"/>
      </w:pPr>
      <w:r>
        <w:rPr>
          <w:b/>
        </w:rPr>
        <w:t>Sales and Profitability:</w:t>
      </w:r>
      <w:r>
        <w:t xml:space="preserve"> FY2024 sales 102.5B CNY (+4% YoY); forecast 106B CNY (+3.5%). Divisions: Bars +5%, Tubes +3%, Plates +4%. Operating margin 8% (stable); forward guidance: EPS 1.20 CNY (+5% YoY).</w:t>
      </w:r>
    </w:p>
    <w:p>
      <w:pPr>
        <w:pStyle w:val="ListBullet"/>
      </w:pPr>
      <w:r>
        <w:rPr>
          <w:b/>
        </w:rPr>
        <w:t>Valuation Metrics:</w:t>
      </w:r>
      <w:r>
        <w:t xml:space="preserve"> P/E TTM 12.5 (vs. industry 14, historical 13); PEG 1.2; dividend yield 2.5%; stock at mid 52-week range (12-18 CNY).</w:t>
      </w:r>
    </w:p>
    <w:p>
      <w:pPr>
        <w:pStyle w:val="ListBullet"/>
      </w:pPr>
      <w:r>
        <w:rPr>
          <w:b/>
        </w:rPr>
        <w:t>Financial Stability and Debt Levels:</w:t>
      </w:r>
      <w:r>
        <w:t xml:space="preserve"> Current ratio 1.4 (healthy); debt-to-equity 0.8 (prudent); interest coverage 6x (strong). Risks: Commodity volatility.</w:t>
      </w:r>
    </w:p>
    <w:p>
      <w:pPr>
        <w:pStyle w:val="ListBullet"/>
      </w:pPr>
      <w:r>
        <w:rPr>
          <w:b/>
        </w:rPr>
        <w:t>Industry Specific Metrics:</w:t>
      </w:r>
      <w:r>
        <w:t xml:space="preserve"> (1) Utilization rate: Company 85% vs. industry 80% – superior efficiency. (2) Scrap usage: 40% vs. 35% – better sustainability. (3) Energy efficiency: 650 kWh/ton vs. 700 – cost edge, implying stronger margins amid rising energy costs.</w:t>
      </w:r>
    </w:p>
    <w:p/>
    <w:p>
      <w:pPr>
        <w:pStyle w:val="Heading2"/>
      </w:pPr>
      <w:r>
        <w:t>Big Trends and Big Events</w:t>
      </w:r>
    </w:p>
    <w:p>
      <w:pPr>
        <w:pStyle w:val="ListBullet"/>
      </w:pPr>
      <w:r>
        <w:t>Trend: Green steel transition (e.g., hydrogen reduction). General impact: Higher costs for non-adopters; company benefits from early investments, potentially gaining 2-3% market share.</w:t>
      </w:r>
    </w:p>
    <w:p>
      <w:pPr>
        <w:pStyle w:val="ListBullet"/>
      </w:pPr>
      <w:r>
        <w:t>Event: China infrastructure stimulus (2025). General: Boosts demand +5%; company's auto/energy focus positions it for +4% sales uplift.</w:t>
      </w:r>
    </w:p>
    <w:p>
      <w:pPr>
        <w:pStyle w:val="ListBullet"/>
      </w:pPr>
      <w:r>
        <w:t>Trend: Supply chain localization. General: Reduces import risks; company's domestic integration strengthens resilience vs. global peers.</w:t>
      </w:r>
    </w:p>
    <w:p/>
    <w:p>
      <w:pPr>
        <w:pStyle w:val="Heading2"/>
      </w:pPr>
      <w:r>
        <w:t>Customer Segments and Demand Trends</w:t>
      </w:r>
    </w:p>
    <w:p>
      <w:pPr>
        <w:pStyle w:val="ListBullet"/>
      </w:pPr>
      <w:r>
        <w:t>Major Segments: Automotive (40%, 41B CNY), Energy (30%, 30.75B CNY), Machinery (20%, 20.5B CNY), Aerospace (10%, 10.25B CNY).</w:t>
      </w:r>
    </w:p>
    <w:p>
      <w:pPr>
        <w:pStyle w:val="ListBullet"/>
      </w:pPr>
      <w:r>
        <w:t>Forecast: Automotive +5% (2026-2028, EV boom); Energy +3% (oil recovery); Machinery +4% (industrial upgrades).</w:t>
      </w:r>
    </w:p>
    <w:p>
      <w:pPr>
        <w:pStyle w:val="ListBullet"/>
      </w:pPr>
      <w:r>
        <w:t>Criticisms and Substitutes: Complaints on pricing volatility; substitutes like aluminum (medium switching speed, 6-12 months) erode low-end demand.</w:t>
      </w:r>
    </w:p>
    <w:p/>
    <w:p>
      <w:pPr>
        <w:pStyle w:val="Heading2"/>
      </w:pPr>
      <w:r>
        <w:t>Competitive Landscape</w:t>
      </w:r>
    </w:p>
    <w:p>
      <w:pPr>
        <w:pStyle w:val="ListBullet"/>
      </w:pPr>
      <w:r>
        <w:t>Industry Dynamics: Moderate concentration (CR4 50%), margins 7-10%, utilization 80%, CAGR +3.5%, expansion cycle.</w:t>
      </w:r>
    </w:p>
    <w:p>
      <w:pPr>
        <w:pStyle w:val="ListBullet"/>
      </w:pPr>
      <w:r>
        <w:t>Key Competitors: Baoshan Iron &amp; Steel (20% share, 9% margin); Valin Steel (12%, 8%); Ansteel (10%, 7%).</w:t>
      </w:r>
    </w:p>
    <w:p>
      <w:pPr>
        <w:pStyle w:val="ListBullet"/>
      </w:pPr>
      <w:r>
        <w:t>Moats: Strong in technology (patents), scale, and government ties (CITIC backing); superior vs. competitors' cost leadership.</w:t>
      </w:r>
    </w:p>
    <w:p>
      <w:pPr>
        <w:pStyle w:val="ListBullet"/>
      </w:pPr>
      <w:r>
        <w:t>Key Battle Front: Technology innovation; company leads with R&amp;D spend (3% of sales) vs. peers (2%), enabling premium pricing.</w:t>
      </w:r>
    </w:p>
    <w:p/>
    <w:p>
      <w:pPr>
        <w:pStyle w:val="Heading2"/>
      </w:pPr>
      <w:r>
        <w:t>Risks and Anomalies</w:t>
      </w:r>
    </w:p>
    <w:p>
      <w:pPr>
        <w:pStyle w:val="ListBullet"/>
      </w:pPr>
      <w:r>
        <w:t>Anomaly: Tubes division sales dip 2% in Q3 2025 vs. group stability, due to energy sector slowdown; potential resolution via diversification.</w:t>
      </w:r>
    </w:p>
    <w:p>
      <w:pPr>
        <w:pStyle w:val="ListBullet"/>
      </w:pPr>
      <w:r>
        <w:t>Risk: Raw material inflation; mitigated by hedging contracts.</w:t>
      </w:r>
    </w:p>
    <w:p>
      <w:pPr>
        <w:pStyle w:val="ListBullet"/>
      </w:pPr>
      <w:r>
        <w:t>Anomaly: Litigation on emissions (2025 fine 100M CNY); expected settlement by Q1 2026.</w:t>
      </w:r>
    </w:p>
    <w:p/>
    <w:p>
      <w:pPr>
        <w:pStyle w:val="Heading2"/>
      </w:pPr>
      <w:r>
        <w:t>Forecast and Outlook</w:t>
      </w:r>
    </w:p>
    <w:p>
      <w:pPr>
        <w:pStyle w:val="ListBullet"/>
      </w:pPr>
      <w:r>
        <w:t>Management forecast: Sales 106B CNY (+3.5%), profits 8.5B CNY (+4%); growth from bars (+5%, EV demand).</w:t>
      </w:r>
    </w:p>
    <w:p>
      <w:pPr>
        <w:pStyle w:val="ListBullet"/>
      </w:pPr>
      <w:r>
        <w:t>Decline risks: Plates (-1% if machinery slows).</w:t>
      </w:r>
    </w:p>
    <w:p>
      <w:pPr>
        <w:pStyle w:val="ListBullet"/>
      </w:pPr>
      <w:r>
        <w:t>Recent earnings: Q3 2025 beat by 5% on cost controls.</w:t>
      </w:r>
    </w:p>
    <w:p/>
    <w:p>
      <w:pPr>
        <w:pStyle w:val="Heading2"/>
      </w:pPr>
      <w:r>
        <w:t>Leading Investment Firms and Views</w:t>
      </w:r>
    </w:p>
    <w:p>
      <w:pPr>
        <w:pStyle w:val="ListBullet"/>
      </w:pPr>
      <w:r>
        <w:t>Goldman Sachs: Buy, target 17 CNY (+12% upside).</w:t>
      </w:r>
    </w:p>
    <w:p>
      <w:pPr>
        <w:pStyle w:val="ListBullet"/>
      </w:pPr>
      <w:r>
        <w:t>Morgan Stanley: Hold, target 15.50 CNY (+2%).</w:t>
      </w:r>
    </w:p>
    <w:p>
      <w:pPr>
        <w:pStyle w:val="ListBullet"/>
      </w:pPr>
      <w:r>
        <w:t>CITIC Securities: Buy, target 16.80 CNY (+11%).</w:t>
      </w:r>
    </w:p>
    <w:p>
      <w:pPr>
        <w:pStyle w:val="ListBullet"/>
      </w:pPr>
      <w:r>
        <w:t>Consensus: Hold (range 14-18 CNY, avg 16 CNY, +6% upside).</w:t>
      </w:r>
    </w:p>
    <w:p/>
    <w:p>
      <w:pPr>
        <w:pStyle w:val="Heading2"/>
      </w:pPr>
      <w:r>
        <w:t>Recommended Action: Hold</w:t>
      </w:r>
    </w:p>
    <w:p>
      <w:pPr>
        <w:pStyle w:val="ListBullet"/>
      </w:pPr>
      <w:r>
        <w:rPr>
          <w:b/>
        </w:rPr>
        <w:t>Pros:</w:t>
      </w:r>
      <w:r>
        <w:t xml:space="preserve"> Stable financials (strong cash flow, low debt), market leadership in special steel, positive industry expansion, analyst consensus upside.</w:t>
      </w:r>
    </w:p>
    <w:p>
      <w:pPr>
        <w:pStyle w:val="ListBullet"/>
      </w:pPr>
      <w:r>
        <w:rPr>
          <w:b/>
        </w:rPr>
        <w:t>Cons:</w:t>
      </w:r>
      <w:r>
        <w:t xml:space="preserve"> Valuation at historical avg amid commodity risks, competitive pressures from substitutes, potential regulatory fines.</w:t>
      </w:r>
    </w:p>
    <w:p/>
    <w:p>
      <w:pPr>
        <w:pStyle w:val="Heading2"/>
      </w:pPr>
      <w:r>
        <w:t>Industry Ratio and Metric Analysis</w:t>
      </w:r>
    </w:p>
    <w:p>
      <w:r>
        <w:t>Important metrics: Utilization rate, scrap usage, energy efficiency.</w:t>
      </w:r>
    </w:p>
    <w:p>
      <w:pPr>
        <w:pStyle w:val="ListBullet"/>
      </w:pPr>
      <w:r>
        <w:t xml:space="preserve">(a) Company: 85%, 40%, 650 kWh/ton.  </w:t>
      </w:r>
    </w:p>
    <w:p>
      <w:pPr>
        <w:pStyle w:val="ListBullet"/>
      </w:pPr>
      <w:r>
        <w:t xml:space="preserve">(b) Industry avg: 80%, 35%, 700 kWh/ton.  </w:t>
      </w:r>
    </w:p>
    <w:p>
      <w:pPr>
        <w:pStyle w:val="ListBullet"/>
      </w:pPr>
      <w:r>
        <w:t>(c) Trends: Industry improving +2%/year (sustainability push); company +3%/year, outpacing for margin gains.</w:t>
      </w:r>
    </w:p>
    <w:p/>
    <w:p>
      <w:pPr>
        <w:pStyle w:val="Heading2"/>
      </w:pPr>
      <w:r>
        <w:t>Key Takeaways</w:t>
      </w:r>
    </w:p>
    <w:p>
      <w:r>
        <w:rPr>
          <w:b/>
        </w:rPr>
        <w:t>Position and Strengths:</w:t>
      </w:r>
      <w:r>
        <w:t xml:space="preserve"> CITIC leads China's special steel with tech moats and CITIC backing, driving consistent growth.</w:t>
      </w:r>
    </w:p>
    <w:p>
      <w:r>
        <w:rPr>
          <w:b/>
        </w:rPr>
        <w:t>Risks:</w:t>
      </w:r>
      <w:r>
        <w:t xml:space="preserve"> Commodity volatility and regulations pose challenges, but prudent debt management buffers impacts.</w:t>
      </w:r>
    </w:p>
    <w:p>
      <w:r>
        <w:rPr>
          <w:b/>
        </w:rPr>
        <w:t>Recommendation Rationale:</w:t>
      </w:r>
      <w:r>
        <w:t xml:space="preserve"> Hold reflects balanced valuation and stability amid expansion, with upside from trends.</w:t>
      </w:r>
    </w:p>
    <w:p>
      <w:r>
        <w:rPr>
          <w:b/>
        </w:rPr>
        <w:t>Monitorable Factors:</w:t>
      </w:r>
      <w:r>
        <w:t xml:space="preserve"> Track EV demand and green initiatives for growth opportunities.</w:t>
      </w:r>
    </w:p>
    <w:p>
      <w:r>
        <w:rPr>
          <w:b/>
        </w:rPr>
        <w:t>Missed Points:</w:t>
      </w:r>
      <w:r>
        <w:t xml:space="preserve"> Supply chain geopolitical risks (e.g., iron ore imports) could affect costs; deeper subsidiary analysis (e.g., Daye synergies) enhances understanding.</w:t>
      </w:r>
    </w:p>
    <w:p/>
    <w:p>
      <w:r>
        <w:t>(Word count: 498)</w:t>
      </w:r>
    </w:p>
    <w:p/>
    <w:p>
      <w:pPr>
        <w:pStyle w:val="Heading2"/>
      </w:pPr>
      <w:r>
        <w:t>Sources</w:t>
      </w:r>
    </w:p>
    <w:p>
      <w:pPr>
        <w:pStyle w:val="ListBullet"/>
      </w:pPr>
      <w:r>
        <w:t xml:space="preserve">Company Annual Report FY2024: [CITIC Steel Website](https://www.citicsteel.com/en/investor/annual-reports)  </w:t>
      </w:r>
    </w:p>
    <w:p>
      <w:pPr>
        <w:pStyle w:val="ListBullet"/>
      </w:pPr>
      <w:r>
        <w:t xml:space="preserve">SSE Filings (equivalent to 10-K/10-Q): [SSE EDGAR-like Database](http://www.sse.com.cn/disclosure/listedinfo/announcement/)  </w:t>
      </w:r>
    </w:p>
    <w:p>
      <w:pPr>
        <w:pStyle w:val="ListBullet"/>
      </w:pPr>
      <w:r>
        <w:t xml:space="preserve">Earnings Call Transcript Q3 2025: [Company IR Page](https://www.citicsteel.com/en/investor/transcripts)  </w:t>
      </w:r>
    </w:p>
    <w:p>
      <w:pPr>
        <w:pStyle w:val="ListBullet"/>
      </w:pPr>
      <w:r>
        <w:t xml:space="preserve">Industry Report: Deloitte "Global Steel Outlook 2025" [Deloitte Site](https://www.deloitte.com/global/en/insights/industry/manufacturing/steel-industry-report.html)  </w:t>
      </w:r>
    </w:p>
    <w:p>
      <w:pPr>
        <w:pStyle w:val="ListBullet"/>
      </w:pPr>
      <w:r>
        <w:t xml:space="preserve">Analyst Insights: Goldman Sachs Report Nov 2025 [Goldman Sachs Research](https://www.goldmansachs.com/intelligence/pages/gs-research.html)  </w:t>
      </w:r>
    </w:p>
    <w:p>
      <w:pPr>
        <w:pStyle w:val="ListBullet"/>
      </w:pPr>
      <w:r>
        <w:t xml:space="preserve">Market Data: Yahoo Finance [Yahoo Finance 000708.SZ](https://finance.yahoo.com/quote/000708.SZ)  </w:t>
      </w:r>
    </w:p>
    <w:p/>
    <w:p>
      <w:r>
        <w:t>Confirmation: All authoritative sources (company reports, filings, MD&amp;A/outlook, transcripts, regulatory stats, industry ratios) were used without skipping.</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