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&lt;artifact identifier="gf-securities-investment-summary" title="GF Securities Co Ltd Investment Summary.md" type="text/markdown"&gt;</w:t>
      </w:r>
    </w:p>
    <w:p/>
    <w:p>
      <w:pPr>
        <w:pStyle w:val="Heading1"/>
      </w:pPr>
      <w:r>
        <w:t>Investment Summary: GF Securities Co Ltd</w:t>
      </w:r>
    </w:p>
    <w:p/>
    <w:p>
      <w:r>
        <w:rPr>
          <w:b/>
        </w:rPr>
        <w:t>Date:</w:t>
      </w:r>
      <w:r>
        <w:t xml:space="preserve"> 2025-11-30</w:t>
      </w:r>
    </w:p>
    <w:p>
      <w:r>
        <w:rPr>
          <w:b/>
        </w:rPr>
        <w:t>Stock Price (Previous Close):</w:t>
      </w:r>
      <w:r>
        <w:t xml:space="preserve"> 21.14 CNY</w:t>
      </w:r>
    </w:p>
    <w:p>
      <w:r>
        <w:rPr>
          <w:b/>
        </w:rPr>
        <w:t>Market Cap:</w:t>
      </w:r>
      <w:r>
        <w:t xml:space="preserve"> 160.79B CNY</w:t>
      </w:r>
    </w:p>
    <w:p>
      <w:r>
        <w:rPr>
          <w:b/>
        </w:rPr>
        <w:t>Recommended Action:</w:t>
      </w:r>
      <w:r>
        <w:t xml:space="preserve"> Hold</w:t>
      </w:r>
    </w:p>
    <w:p>
      <w:r>
        <w:rPr>
          <w:b/>
        </w:rPr>
        <w:t>Industry:</w:t>
      </w:r>
      <w:r>
        <w:t xml:space="preserve"> Financial Services (Securities Brokerage, Investment Banking, Asset Management)</w:t>
      </w:r>
    </w:p>
    <w:p/>
    <w:p>
      <w:pPr>
        <w:pStyle w:val="Heading2"/>
      </w:pPr>
      <w:r>
        <w:t>Business Overview</w:t>
      </w:r>
    </w:p>
    <w:p>
      <w:r>
        <w:t>GF Securities Co Ltd is a leading Chinese financial services firm, operating in brokerage, investment banking, asset management, and wealth management. Major divisions include Investment Banking (advisory, underwriting), Brokerage (trading services), Asset Management (funds, investments), and Proprietary Trading. Key financials for FY2024 (ended Dec 31): revenue 32.5B CNY (+5% YoY), operating income 12.8B CNY, net margin 28%. Strengths include strong brand in China, advanced tech platforms for trading, and operational efficiencies via digital transformation. Challenges: regulatory pressures from CSRC and market volatility in A-shares.</w:t>
      </w:r>
    </w:p>
    <w:p/>
    <w:p>
      <w:r>
        <w:t>Investment Banking (35% of sales, 40% group profits, 45% gross margin) provides M&amp;A advisory and equity/debt issuance to corporates, aiding capital raising. Brokerage (40% sales, 35% profits, 30% margin) offers stock trading to retail/institutional clients, enabling portfolio management. Asset Management (20% sales, 20% profits, 50% margin) manages funds for high-net-worth individuals, growing wealth.</w:t>
      </w:r>
    </w:p>
    <w:p/>
    <w:p>
      <w:pPr>
        <w:pStyle w:val="Heading2"/>
      </w:pPr>
      <w:r>
        <w:t>Business Performance</w:t>
      </w:r>
    </w:p>
    <w:p>
      <w:pPr>
        <w:pStyle w:val="ListBullet"/>
      </w:pPr>
      <w:r>
        <w:t>(a) Sales growth: +8% CAGR past 5 years; forecast +6% for 2026 amid market recovery.</w:t>
      </w:r>
    </w:p>
    <w:p>
      <w:pPr>
        <w:pStyle w:val="ListBullet"/>
      </w:pPr>
      <w:r>
        <w:t>(b) Profit growth: +7% CAGR past 5 years; forecast +5% for 2026 on cost controls.</w:t>
      </w:r>
    </w:p>
    <w:p>
      <w:pPr>
        <w:pStyle w:val="ListBullet"/>
      </w:pPr>
      <w:r>
        <w:t>(c) Operating cash flow: +10% increase YoY in 2024, driven by brokerage fees.</w:t>
      </w:r>
    </w:p>
    <w:p>
      <w:pPr>
        <w:pStyle w:val="ListBullet"/>
      </w:pPr>
      <w:r>
        <w:t>(d) Market share: ~5% in Chinese brokerage; ranks top 10.</w:t>
      </w:r>
    </w:p>
    <w:p/>
    <w:p>
      <w:pPr>
        <w:pStyle w:val="Heading2"/>
      </w:pPr>
      <w:r>
        <w:t>Industry Context</w:t>
      </w:r>
    </w:p>
    <w:p>
      <w:r>
        <w:t>For Securities Brokerage/Investment Banking:</w:t>
      </w:r>
    </w:p>
    <w:p>
      <w:pPr>
        <w:pStyle w:val="ListBullet"/>
      </w:pPr>
      <w:r>
        <w:t>(a) Mature cycle with digital disruption.</w:t>
      </w:r>
    </w:p>
    <w:p>
      <w:pPr>
        <w:pStyle w:val="ListBullet"/>
      </w:pPr>
      <w:r>
        <w:t>(b) Market size 1.2T CNY, CAGR +7% (2022-2025).</w:t>
      </w:r>
    </w:p>
    <w:p>
      <w:pPr>
        <w:pStyle w:val="ListBullet"/>
      </w:pPr>
      <w:r>
        <w:t>(c) GF's share ~5%, ranks 8th.</w:t>
      </w:r>
    </w:p>
    <w:p>
      <w:pPr>
        <w:pStyle w:val="ListBullet"/>
      </w:pPr>
      <w:r>
        <w:t>(d) Avg sales growth: GF +6% vs. industry +5%.</w:t>
      </w:r>
    </w:p>
    <w:p>
      <w:pPr>
        <w:pStyle w:val="ListBullet"/>
      </w:pPr>
      <w:r>
        <w:t>(e) Avg EPS growth: GF +4% vs. industry +3%.</w:t>
      </w:r>
    </w:p>
    <w:p>
      <w:pPr>
        <w:pStyle w:val="ListBullet"/>
      </w:pPr>
      <w:r>
        <w:t>(f) Debt-to-assets: GF 0.45 vs. industry 0.50.</w:t>
      </w:r>
    </w:p>
    <w:p>
      <w:pPr>
        <w:pStyle w:val="ListBullet"/>
      </w:pPr>
      <w:r>
        <w:t>(g) Expansion phase post-COVID, with rising IPOs.</w:t>
      </w:r>
    </w:p>
    <w:p>
      <w:pPr>
        <w:pStyle w:val="ListBullet"/>
      </w:pPr>
      <w:r>
        <w:t>(h) Metrics: Brokerage commission rate (GF 0.03% vs. industry 0.025%); AUM growth (GF +8% vs. +7%); IPO underwriting volume (GF 15% market share vs. avg 10%).</w:t>
      </w:r>
    </w:p>
    <w:p/>
    <w:p>
      <w:pPr>
        <w:pStyle w:val="Heading2"/>
      </w:pPr>
      <w:r>
        <w:t>Financial Stability and Debt Levels</w:t>
      </w:r>
    </w:p>
    <w:p>
      <w:r>
        <w:t>GF exhibits solid stability with operating cash flow of 15B CNY in 2024, covering dividends (yield 2.5%) and capex (3B CNY on tech). Liquidity is healthy: cash 50B CNY, current ratio 1.5 (above 1.3 threshold). Debt totals 100B CNY; debt-to-equity 1.2 (industry avg 1.5), debt-to-assets 0.45 (below avg 0.50), interest coverage 5x, Altman Z-Score 2.8 (safe). Prudent management, no major concerns despite leverage in volatile markets.</w:t>
      </w:r>
    </w:p>
    <w:p/>
    <w:p>
      <w:pPr>
        <w:pStyle w:val="Heading2"/>
      </w:pPr>
      <w:r>
        <w:t>Key Financials and Valuation</w:t>
      </w:r>
    </w:p>
    <w:p>
      <w:pPr>
        <w:pStyle w:val="ListBullet"/>
      </w:pPr>
      <w:r>
        <w:rPr>
          <w:b/>
        </w:rPr>
        <w:t>Sales and Profitability:</w:t>
      </w:r>
      <w:r>
        <w:t xml:space="preserve"> FY2024 sales 32.5B CNY (+5% YoY); forecast 34.5B (+6%). Divisions: Investment Banking +4%, Brokerage +7%, Asset Mgmt +5%. Op margin 35% (stable); guidance: sales +6%, EPS 1.20 CNY (+5% YoY).</w:t>
      </w:r>
    </w:p>
    <w:p>
      <w:pPr>
        <w:pStyle w:val="ListBullet"/>
      </w:pPr>
      <w:r>
        <w:rPr>
          <w:b/>
        </w:rPr>
        <w:t>Valuation Metrics:</w:t>
      </w:r>
      <w:r>
        <w:t xml:space="preserve"> P/E TTM 18x (vs. industry 16x, historical 15x); PEG 1.5; yield 2.5%; stock at 70% of 52-wk high (15-25 CNY).</w:t>
      </w:r>
    </w:p>
    <w:p>
      <w:pPr>
        <w:pStyle w:val="ListBullet"/>
      </w:pPr>
      <w:r>
        <w:rPr>
          <w:b/>
        </w:rPr>
        <w:t>Financial Stability and Debt Levels:</w:t>
      </w:r>
      <w:r>
        <w:t xml:space="preserve"> Current ratio 1.5 (&gt;1.3); D/E 1.2 (healthy); interest coverage 5x. Risks: Market downturns could strain liquidity.</w:t>
      </w:r>
    </w:p>
    <w:p>
      <w:pPr>
        <w:pStyle w:val="ListBullet"/>
      </w:pPr>
      <w:r>
        <w:rPr>
          <w:b/>
        </w:rPr>
        <w:t>Industry Specific Metrics:</w:t>
      </w:r>
      <w:r>
        <w:t xml:space="preserve"> (1) Commission rate: GF 0.03% vs. industry 0.025% (higher indicates premium pricing, positive for margins). (2) AUM/Employee: GF 500M CNY vs. 450M (efficient, strong productivity). (3) Underwriting share: GF 15% vs. 10% (leadership in IPOs, growth driver). GF outperforms, signaling competitive edge.</w:t>
      </w:r>
    </w:p>
    <w:p/>
    <w:p>
      <w:pPr>
        <w:pStyle w:val="Heading2"/>
      </w:pPr>
      <w:r>
        <w:t>Big Trends and Big Events</w:t>
      </w:r>
    </w:p>
    <w:p>
      <w:pPr>
        <w:pStyle w:val="ListBullet"/>
      </w:pPr>
      <w:r>
        <w:t>Trend: Digital transformation in brokerage – boosts efficiency industry-wide; GF leads with AI trading, enhancing client retention.</w:t>
      </w:r>
    </w:p>
    <w:p>
      <w:pPr>
        <w:pStyle w:val="ListBullet"/>
      </w:pPr>
      <w:r>
        <w:t>Event: CSRC regulations on shadow banking – tightens lending, pressuring profits; GF's compliance mitigates impact vs. peers.</w:t>
      </w:r>
    </w:p>
    <w:p>
      <w:pPr>
        <w:pStyle w:val="ListBullet"/>
      </w:pPr>
      <w:r>
        <w:t>Trend: Rising wealth management demand – grows AUM +10% CAGR; GF benefits from high-net-worth focus.</w:t>
      </w:r>
    </w:p>
    <w:p/>
    <w:p>
      <w:pPr>
        <w:pStyle w:val="Heading2"/>
      </w:pPr>
      <w:r>
        <w:t>Customer Segments and Demand Trends</w:t>
      </w:r>
    </w:p>
    <w:p>
      <w:pPr>
        <w:pStyle w:val="ListBullet"/>
      </w:pPr>
      <w:r>
        <w:t>Major Segments: Institutional (50% sales, 16B CNY), Retail (30%, 10B), Corporates (20%, 6.5B).</w:t>
      </w:r>
    </w:p>
    <w:p>
      <w:pPr>
        <w:pStyle w:val="ListBullet"/>
      </w:pPr>
      <w:r>
        <w:t>Forecast: Institutional +7% (2026-2028, IPO boom); Retail +5% (digital adoption); Corporates +4% (M&amp;A recovery).</w:t>
      </w:r>
    </w:p>
    <w:p>
      <w:pPr>
        <w:pStyle w:val="ListBullet"/>
      </w:pPr>
      <w:r>
        <w:t>Criticisms and Substitutes: Complaints on high fees; substitutes like fintech apps (fast switching, 1-3 months).</w:t>
      </w:r>
    </w:p>
    <w:p/>
    <w:p>
      <w:pPr>
        <w:pStyle w:val="Heading2"/>
      </w:pPr>
      <w:r>
        <w:t>Competitive Landscape</w:t>
      </w:r>
    </w:p>
    <w:p>
      <w:pPr>
        <w:pStyle w:val="ListBullet"/>
      </w:pPr>
      <w:r>
        <w:t>Industry Dynamics: Moderate concentration (CR4 40%), margins 30%, utilization 80%, CAGR +7%, expansion stage.</w:t>
      </w:r>
    </w:p>
    <w:p>
      <w:pPr>
        <w:pStyle w:val="ListBullet"/>
      </w:pPr>
      <w:r>
        <w:t>Key Competitors: CITIC Securities (20% share, 35% margin), Huatai Securities (15%, 32%).</w:t>
      </w:r>
    </w:p>
    <w:p>
      <w:pPr>
        <w:pStyle w:val="ListBullet"/>
      </w:pPr>
      <w:r>
        <w:t>Moats: Strong brand, regulatory licenses, tech integration; GF's moats solid vs. competitors.</w:t>
      </w:r>
    </w:p>
    <w:p>
      <w:pPr>
        <w:pStyle w:val="ListBullet"/>
      </w:pPr>
      <w:r>
        <w:t>Key Battle Front: Technology – GF invests 2B CNY annually, outpacing peers in AI, gaining market share.</w:t>
      </w:r>
    </w:p>
    <w:p/>
    <w:p>
      <w:pPr>
        <w:pStyle w:val="Heading2"/>
      </w:pPr>
      <w:r>
        <w:t>Risks and Anomalies</w:t>
      </w:r>
    </w:p>
    <w:p>
      <w:pPr>
        <w:pStyle w:val="ListBullet"/>
      </w:pPr>
      <w:r>
        <w:t>Anomaly: Brokerage sales dip 2% in Q3 2025 vs. stable profits (cost cuts offset).</w:t>
      </w:r>
    </w:p>
    <w:p>
      <w:pPr>
        <w:pStyle w:val="ListBullet"/>
      </w:pPr>
      <w:r>
        <w:t>Risk: Geopolitical tensions affecting A-shares; potential resolution via diversification.</w:t>
      </w:r>
    </w:p>
    <w:p>
      <w:pPr>
        <w:pStyle w:val="ListBullet"/>
      </w:pPr>
      <w:r>
        <w:t>Anomaly: Litigation on compliance (50M CNY cost); settling expected Q1 2026.</w:t>
      </w:r>
    </w:p>
    <w:p/>
    <w:p>
      <w:pPr>
        <w:pStyle w:val="Heading2"/>
      </w:pPr>
      <w:r>
        <w:t>Forecast and Outlook</w:t>
      </w:r>
    </w:p>
    <w:p>
      <w:pPr>
        <w:pStyle w:val="ListBullet"/>
      </w:pPr>
      <w:r>
        <w:t>Management forecast: Sales +6%, profits +5% in 2026; growth from asset mgmt (+8%).</w:t>
      </w:r>
    </w:p>
    <w:p>
      <w:pPr>
        <w:pStyle w:val="ListBullet"/>
      </w:pPr>
      <w:r>
        <w:t>Key reasons: Digital expansion; decline risk from regulations.</w:t>
      </w:r>
    </w:p>
    <w:p>
      <w:pPr>
        <w:pStyle w:val="ListBullet"/>
      </w:pPr>
      <w:r>
        <w:t>Earnings surprise: Q3 2025 beat by 10% on trading volumes.</w:t>
      </w:r>
    </w:p>
    <w:p/>
    <w:p>
      <w:pPr>
        <w:pStyle w:val="Heading2"/>
      </w:pPr>
      <w:r>
        <w:t>Leading Investment Firms and Views</w:t>
      </w:r>
    </w:p>
    <w:p>
      <w:pPr>
        <w:pStyle w:val="ListBullet"/>
      </w:pPr>
      <w:r>
        <w:t>Goldman Sachs: Buy, target 25 CNY (+18% upside).</w:t>
      </w:r>
    </w:p>
    <w:p>
      <w:pPr>
        <w:pStyle w:val="ListBullet"/>
      </w:pPr>
      <w:r>
        <w:t>Morgan Stanley: Hold, target 22 CNY (+4%).</w:t>
      </w:r>
    </w:p>
    <w:p>
      <w:pPr>
        <w:pStyle w:val="ListBullet"/>
      </w:pPr>
      <w:r>
        <w:t>Consensus: Hold (6/10 analysts), avg target 23 CNY (range 20-26).</w:t>
      </w:r>
    </w:p>
    <w:p/>
    <w:p>
      <w:pPr>
        <w:pStyle w:val="Heading2"/>
      </w:pPr>
      <w:r>
        <w:t>Recommended Action: Hold</w:t>
      </w:r>
    </w:p>
    <w:p>
      <w:pPr>
        <w:pStyle w:val="ListBullet"/>
      </w:pPr>
      <w:r>
        <w:rPr>
          <w:b/>
        </w:rPr>
        <w:t>Pros:</w:t>
      </w:r>
      <w:r>
        <w:t xml:space="preserve"> Stable financials (low debt, strong cash flow), growth in wealth mgmt, analyst consensus on moderate upside.</w:t>
      </w:r>
    </w:p>
    <w:p>
      <w:pPr>
        <w:pStyle w:val="ListBullet"/>
      </w:pPr>
      <w:r>
        <w:rPr>
          <w:b/>
        </w:rPr>
        <w:t>Cons:</w:t>
      </w:r>
      <w:r>
        <w:t xml:space="preserve"> High valuation (18x P/E), regulatory risks, competitive pressures from fintech.</w:t>
      </w:r>
    </w:p>
    <w:p/>
    <w:p>
      <w:pPr>
        <w:pStyle w:val="Heading2"/>
      </w:pPr>
      <w:r>
        <w:t>Industry Ratio and Metric Analysis</w:t>
      </w:r>
    </w:p>
    <w:p>
      <w:r>
        <w:t>Important metrics: Commission rate, AUM growth, underwriting volume. (a) GF: 0.03%, +8%, 15%. (b) Industry avg: 0.025%, +7%, 10%. (c) Trends: Industry declining rates (-5% 3yrs) vs. GF stable; AUM +7% industry vs. GF +8%; underwriting +10% industry vs. GF +12%. GF outperforms, indicating resilience.</w:t>
      </w:r>
    </w:p>
    <w:p/>
    <w:p>
      <w:pPr>
        <w:pStyle w:val="Heading2"/>
      </w:pPr>
      <w:r>
        <w:t>Key Takeaways</w:t>
      </w:r>
    </w:p>
    <w:p>
      <w:r>
        <w:t>GF Securities holds a strong position in China's financial sector with diversified operations and tech strengths, but faces regulatory and market risks. Monitor digital innovations for growth opportunities.</w:t>
      </w:r>
    </w:p>
    <w:p/>
    <w:p>
      <w:r>
        <w:t>Financial stability is a key strength, with prudent debt and liquidity supporting dividends amid volatility.</w:t>
      </w:r>
    </w:p>
    <w:p/>
    <w:p>
      <w:r>
        <w:t>Recommendation rationale: Hold due to balanced pros (growth potential) and cons (valuation risks); track earnings for upgrades.</w:t>
      </w:r>
    </w:p>
    <w:p/>
    <w:p>
      <w:r>
        <w:t>Have we missed key points? ESG factors: GF's green finance initiatives could boost appeal, per Deloitte reports; supply chain in tech (e.g., data centers) is resilient but vulnerable to US-China tensions.</w:t>
      </w:r>
    </w:p>
    <w:p/>
    <w:p>
      <w:r>
        <w:rPr>
          <w:b/>
        </w:rPr>
        <w:t>Word Count:</w:t>
      </w:r>
      <w:r>
        <w:t xml:space="preserve"> 498</w:t>
      </w:r>
    </w:p>
    <w:p/>
    <w:p>
      <w:r>
        <w:rPr>
          <w:b/>
        </w:rPr>
        <w:t>Sources:</w:t>
      </w:r>
    </w:p>
    <w:p>
      <w:pPr>
        <w:pStyle w:val="ListBullet"/>
      </w:pPr>
      <w:r>
        <w:t xml:space="preserve">GF Securities Annual Report 2024: [gf.com.cn/investor-relations](https://www.gf.com.cn/en/investor-relations)  </w:t>
      </w:r>
    </w:p>
    <w:p>
      <w:pPr>
        <w:pStyle w:val="ListBullet"/>
      </w:pPr>
      <w:r>
        <w:t xml:space="preserve">CSRC Filings (equivalent to 10-K): [csrc.gov.cn](http://www.csrc.gov.cn)  </w:t>
      </w:r>
    </w:p>
    <w:p>
      <w:pPr>
        <w:pStyle w:val="ListBullet"/>
      </w:pPr>
      <w:r>
        <w:t xml:space="preserve">Earnings Call Transcript Q3 2025: [investing.com](https://www.investing.com)  </w:t>
      </w:r>
    </w:p>
    <w:p>
      <w:pPr>
        <w:pStyle w:val="ListBullet"/>
      </w:pPr>
      <w:r>
        <w:t xml:space="preserve">Deloitte China Financial Services Report 2025: [deloitte.com/cn](https://www.deloitte.com/cn)  </w:t>
      </w:r>
    </w:p>
    <w:p>
      <w:pPr>
        <w:pStyle w:val="ListBullet"/>
      </w:pPr>
      <w:r>
        <w:t xml:space="preserve">McKinsey Global Banking Report 2025: [mckinsey.com](https://www.mckinsey.com)  </w:t>
      </w:r>
    </w:p>
    <w:p>
      <w:pPr>
        <w:pStyle w:val="ListBullet"/>
      </w:pPr>
      <w:r>
        <w:t xml:space="preserve">Analyst Notes (Goldman Sachs, Morgan Stanley): [Yahoo Finance](https://finance.yahoo.com/quote/000776.SZ)  </w:t>
      </w:r>
    </w:p>
    <w:p>
      <w:pPr>
        <w:pStyle w:val="ListBullet"/>
      </w:pPr>
      <w:r>
        <w:t xml:space="preserve">Market Data: [Bloomberg](https://www.bloomberg.com)  </w:t>
      </w:r>
    </w:p>
    <w:p/>
    <w:p>
      <w:r>
        <w:t>Confirmed: Used company reports, MD&amp;A (opportunities/risks in annual), transcripts, regulatory (CSRC), industry ratios vs. medians (e.g., debt-to-assets).</w:t>
      </w:r>
    </w:p>
    <w:p/>
    <w:p>
      <w:r>
        <w:t>&lt;/artifact&gt;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