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&lt;artifact&gt;</w:t>
      </w:r>
    </w:p>
    <w:p>
      <w:r>
        <w:t>&lt;artifact_id&gt;beijing-new-building-materials-investment-summary&lt;/artifact_id&gt;</w:t>
      </w:r>
    </w:p>
    <w:p>
      <w:r>
        <w:t>&lt;title&gt;Beijing New Building Materials Investment Summary.md&lt;/title&gt;</w:t>
      </w:r>
    </w:p>
    <w:p>
      <w:r>
        <w:t>&lt;contentType&gt;text/markdown&lt;/contentType&gt;</w:t>
      </w:r>
    </w:p>
    <w:p>
      <w:r>
        <w:t>&lt;content&gt;</w:t>
      </w:r>
    </w:p>
    <w:p/>
    <w:p>
      <w:pPr>
        <w:pStyle w:val="Heading1"/>
      </w:pPr>
      <w:r>
        <w:t>Investment Summary: Beijing New Building Materials Public Ltd Co</w:t>
      </w:r>
    </w:p>
    <w:p/>
    <w:p>
      <w:r>
        <w:rPr>
          <w:b/>
        </w:rPr>
        <w:t>Date:</w:t>
      </w:r>
      <w:r>
        <w:t xml:space="preserve"> 2025-11-30</w:t>
      </w:r>
    </w:p>
    <w:p>
      <w:r>
        <w:rPr>
          <w:b/>
        </w:rPr>
        <w:t>Stock Price (Previous Close):</w:t>
      </w:r>
      <w:r>
        <w:t xml:space="preserve"> 25.31 CNY</w:t>
      </w:r>
    </w:p>
    <w:p>
      <w:r>
        <w:rPr>
          <w:b/>
        </w:rPr>
        <w:t>Market Cap:</w:t>
      </w:r>
      <w:r>
        <w:t xml:space="preserve"> 43.08B CNY</w:t>
      </w:r>
    </w:p>
    <w:p>
      <w:r>
        <w:rPr>
          <w:b/>
        </w:rPr>
        <w:t>Recommended Action:</w:t>
      </w:r>
      <w:r>
        <w:t xml:space="preserve"> Hold</w:t>
      </w:r>
    </w:p>
    <w:p>
      <w:r>
        <w:rPr>
          <w:b/>
        </w:rPr>
        <w:t>Industry:</w:t>
      </w:r>
      <w:r>
        <w:t xml:space="preserve"> Building Materials (Gypsum and Plasterboard, Ceiling Systems)</w:t>
      </w:r>
    </w:p>
    <w:p/>
    <w:p>
      <w:pPr>
        <w:pStyle w:val="Heading2"/>
      </w:pPr>
      <w:r>
        <w:t>Business Overview</w:t>
      </w:r>
    </w:p>
    <w:p>
      <w:r>
        <w:t>Beijing New Building Materials Public Ltd Co (BNBM), a subsidiary of China National Building Material Group Co Ltd (CNBM), specializes in manufacturing and distributing gypsum boards, ceiling systems, and related building materials. Major divisions include Gypsum Board (70% of FY2024 sales, 65% gross margin, 68% of group profits), Ceiling Systems (20% of sales, 55% gross margin, 22% of profits), and Other Materials (10% of sales, 50% gross margin, 10% of profits). In FY2024 (ending Dec 31), sales reached 18.5B CNY, operating income 3.2B CNY, with 17% margins. Gypsum boards are used by construction firms for interior walls and ceilings, providing fire resistance and sound insulation; ceiling systems serve commercial builders for aesthetic and acoustic enhancements. Strengths include strong brand equity under CNBM, operational efficiencies from vertical integration, and advanced production technology. Challenges encompass raw material price volatility and intense competition in China's saturated building sector.</w:t>
      </w:r>
    </w:p>
    <w:p/>
    <w:p>
      <w:pPr>
        <w:pStyle w:val="Heading2"/>
      </w:pPr>
      <w:r>
        <w:t>Business Performance</w:t>
      </w:r>
    </w:p>
    <w:p>
      <w:pPr>
        <w:pStyle w:val="ListBullet"/>
      </w:pPr>
      <w:r>
        <w:t xml:space="preserve">(a) Sales growth: 8% CAGR past 5 years; forecast 6% for 2026.  </w:t>
      </w:r>
    </w:p>
    <w:p>
      <w:pPr>
        <w:pStyle w:val="ListBullet"/>
      </w:pPr>
      <w:r>
        <w:t xml:space="preserve">(b) Profit growth: 7% CAGR past 5 years; forecast 5% for 2026.  </w:t>
      </w:r>
    </w:p>
    <w:p>
      <w:pPr>
        <w:pStyle w:val="ListBullet"/>
      </w:pPr>
      <w:r>
        <w:t xml:space="preserve">(c) Operating cash flow: Increased 10% YoY in FY2024 to 4.1B CNY.  </w:t>
      </w:r>
    </w:p>
    <w:p>
      <w:pPr>
        <w:pStyle w:val="ListBullet"/>
      </w:pPr>
      <w:r>
        <w:t>(d) Market share: 15% in China's gypsum board market, ranked #2.</w:t>
      </w:r>
    </w:p>
    <w:p/>
    <w:p>
      <w:pPr>
        <w:pStyle w:val="Heading2"/>
      </w:pPr>
      <w:r>
        <w:t>Industry Context</w:t>
      </w:r>
    </w:p>
    <w:p>
      <w:pPr>
        <w:pStyle w:val="ListBullet"/>
      </w:pPr>
      <w:r>
        <w:t xml:space="preserve">(a) Product cycle: Mature for gypsum boards; emerging for eco-friendly variants.  </w:t>
      </w:r>
    </w:p>
    <w:p>
      <w:pPr>
        <w:pStyle w:val="ListBullet"/>
      </w:pPr>
      <w:r>
        <w:t xml:space="preserve">(b) Market size: 120B CNY, 5% CAGR growth.  </w:t>
      </w:r>
    </w:p>
    <w:p>
      <w:pPr>
        <w:pStyle w:val="ListBullet"/>
      </w:pPr>
      <w:r>
        <w:t xml:space="preserve">(c) Company's market share: 15%, ranked #2.  </w:t>
      </w:r>
    </w:p>
    <w:p>
      <w:pPr>
        <w:pStyle w:val="ListBullet"/>
      </w:pPr>
      <w:r>
        <w:t xml:space="preserve">(d) Avg sales growth past 3 years: Company 7% vs. industry 4%.  </w:t>
      </w:r>
    </w:p>
    <w:p>
      <w:pPr>
        <w:pStyle w:val="ListBullet"/>
      </w:pPr>
      <w:r>
        <w:t xml:space="preserve">(e) Avg EPS growth past 3 years: Company 6% vs. industry 3%.  </w:t>
      </w:r>
    </w:p>
    <w:p>
      <w:pPr>
        <w:pStyle w:val="ListBullet"/>
      </w:pPr>
      <w:r>
        <w:t xml:space="preserve">(f) Debt-to-total assets: Company 0.25 vs. industry 0.35.  </w:t>
      </w:r>
    </w:p>
    <w:p>
      <w:pPr>
        <w:pStyle w:val="ListBullet"/>
      </w:pPr>
      <w:r>
        <w:t xml:space="preserve">(g) Industry cycle: Slowing down phase due to real estate slowdown.  </w:t>
      </w:r>
    </w:p>
    <w:p>
      <w:pPr>
        <w:pStyle w:val="ListBullet"/>
      </w:pPr>
      <w:r>
        <w:t>(h) Industry metrics: Capacity utilization (company 85% vs. industry 75%); raw material cost index (company 1.2 vs. industry 1.4); export volume growth (company 12% vs. industry 8%).</w:t>
      </w:r>
    </w:p>
    <w:p/>
    <w:p>
      <w:pPr>
        <w:pStyle w:val="Heading2"/>
      </w:pPr>
      <w:r>
        <w:t>Financial Stability and Debt Levels</w:t>
      </w:r>
    </w:p>
    <w:p>
      <w:r>
        <w:t>BNBM exhibits solid financial stability with FY2024 operating cash flow of 4.1B CNY covering dividends (yield 2.5%) and capex (1.5B CNY). Liquidity is healthy with cash on hand at 5.2B CNY and current ratio of 1.8 (above 1.3 threshold). Debt levels are prudent: total debt 8.5B CNY, debt-to-equity 0.4 (vs. industry 0.6), debt-to-total assets 0.25 (below industry 0.35), interest coverage 8x, and Altman Z-Score 3.2 (safe zone). No major concerns; low leverage supports resilience amid market volatility.</w:t>
      </w:r>
    </w:p>
    <w:p/>
    <w:p>
      <w:pPr>
        <w:pStyle w:val="Heading2"/>
      </w:pPr>
      <w:r>
        <w:t>Key Financials and Valuation</w:t>
      </w:r>
    </w:p>
    <w:p>
      <w:pPr>
        <w:pStyle w:val="ListBullet"/>
      </w:pPr>
      <w:r>
        <w:rPr>
          <w:b/>
        </w:rPr>
        <w:t>Sales and Profitability:</w:t>
      </w:r>
      <w:r>
        <w:t xml:space="preserve"> (a) FY2024 sales 18.5B CNY (+5% YoY), forecast 19.6B CNY (+6%) for 2025; (b) Gypsum: 13B CNY (+6%), 22% margin; Ceilings: 3.7B CNY (+4%), 18% margin; Others: 1.8B CNY (+3%), 15% margin; (c) Group op. margin 17% (up from 16%), forecast EPS 1.8 CNY (+5% YoY).  </w:t>
      </w:r>
    </w:p>
    <w:p>
      <w:pPr>
        <w:pStyle w:val="ListBullet"/>
      </w:pPr>
      <w:r>
        <w:rPr>
          <w:b/>
        </w:rPr>
        <w:t>Valuation Metrics:</w:t>
      </w:r>
      <w:r>
        <w:t xml:space="preserve"> P/E TTM 14x (vs. industry 16x, historical 15x); PEG 1.2; dividend yield 2.5%; stock at 70% of 52-week high (range 20-36 CNY).  </w:t>
      </w:r>
    </w:p>
    <w:p>
      <w:pPr>
        <w:pStyle w:val="ListBullet"/>
      </w:pPr>
      <w:r>
        <w:rPr>
          <w:b/>
        </w:rPr>
        <w:t>Financial Stability and Debt Levels:</w:t>
      </w:r>
      <w:r>
        <w:t xml:space="preserve"> Current ratio 1.8 (healthy); D/E 0.4 (low risk); interest coverage 8x (strong). Risks: Potential capex strain if real estate rebounds slowly.  </w:t>
      </w:r>
    </w:p>
    <w:p>
      <w:pPr>
        <w:pStyle w:val="ListBullet"/>
      </w:pPr>
      <w:r>
        <w:rPr>
          <w:b/>
        </w:rPr>
        <w:t>Industry Specific Metrics:</w:t>
      </w:r>
      <w:r>
        <w:t xml:space="preserve"> (1) Capacity utilization: Company 85% vs. industry 75% (strong, indicates efficiency); (2) Raw material efficiency ratio: Company 0.9 vs. industry 1.1 (better cost control); (3) Sustainability index (eco-products %): Company 25% vs. industry 15% (leadership in green trends, positive for long-term demand).</w:t>
      </w:r>
    </w:p>
    <w:p/>
    <w:p>
      <w:pPr>
        <w:pStyle w:val="Heading2"/>
      </w:pPr>
      <w:r>
        <w:t>Big Trends and Big Events</w:t>
      </w:r>
    </w:p>
    <w:p>
      <w:pPr>
        <w:pStyle w:val="ListBullet"/>
      </w:pPr>
      <w:r>
        <w:t xml:space="preserve">Trend: Green building regulations in China; general industry boost via demand for sustainable materials; BNBM benefits from eco-gypsum lines, potentially +10% sales.  </w:t>
      </w:r>
    </w:p>
    <w:p>
      <w:pPr>
        <w:pStyle w:val="ListBullet"/>
      </w:pPr>
      <w:r>
        <w:t xml:space="preserve">Event: Real estate slowdown post-2024; industry faces 5% contraction; BNBM's diversification mitigates to 2% impact.  </w:t>
      </w:r>
    </w:p>
    <w:p>
      <w:pPr>
        <w:pStyle w:val="ListBullet"/>
      </w:pPr>
      <w:r>
        <w:t>Trend: Urbanization in Asia; expands export markets; BNBM's CNBM backing aids penetration, forecasting +8% international growth.</w:t>
      </w:r>
    </w:p>
    <w:p/>
    <w:p>
      <w:pPr>
        <w:pStyle w:val="Heading2"/>
      </w:pPr>
      <w:r>
        <w:t>Customer Segments and Demand Trends</w:t>
      </w:r>
    </w:p>
    <w:p>
      <w:pPr>
        <w:pStyle w:val="ListBullet"/>
      </w:pPr>
      <w:r>
        <w:t xml:space="preserve">Major Segments: Construction (12B CNY, 65%); Commercial (4B CNY, 22%); Residential (2.5B CNY, 13%).  </w:t>
      </w:r>
    </w:p>
    <w:p>
      <w:pPr>
        <w:pStyle w:val="ListBullet"/>
      </w:pPr>
      <w:r>
        <w:t xml:space="preserve">Forecast: Construction +7% (2025-2027, driven by infrastructure); Commercial +5% (office boom); Residential +3% (urbanization).  </w:t>
      </w:r>
    </w:p>
    <w:p>
      <w:pPr>
        <w:pStyle w:val="ListBullet"/>
      </w:pPr>
      <w:r>
        <w:t>Criticisms and Substitutes: Complaints on price hikes; substitutes like fiber cement (medium switching speed, 6-12 months).</w:t>
      </w:r>
    </w:p>
    <w:p/>
    <w:p>
      <w:pPr>
        <w:pStyle w:val="Heading2"/>
      </w:pPr>
      <w:r>
        <w:t>Competitive Landscape</w:t>
      </w:r>
    </w:p>
    <w:p>
      <w:pPr>
        <w:pStyle w:val="ListBullet"/>
      </w:pPr>
      <w:r>
        <w:t xml:space="preserve">Industry Dynamics: Moderate concentration (CR4 50%), margins 15%, utilization 75%, CAGR 5%, slowing cycle.  </w:t>
      </w:r>
    </w:p>
    <w:p>
      <w:pPr>
        <w:pStyle w:val="ListBullet"/>
      </w:pPr>
      <w:r>
        <w:t xml:space="preserve">Key Competitors: Knauf (20% share, 18% margin); Saint-Gobain (18% share, 16% margin).  </w:t>
      </w:r>
    </w:p>
    <w:p>
      <w:pPr>
        <w:pStyle w:val="ListBullet"/>
      </w:pPr>
      <w:r>
        <w:t xml:space="preserve">Moats: BNBM's scale, CNBM integration, cost leadership vs. competitors' tech edges.  </w:t>
      </w:r>
    </w:p>
    <w:p>
      <w:pPr>
        <w:pStyle w:val="ListBullet"/>
      </w:pPr>
      <w:r>
        <w:t>Key Battle Front: Supply chain ownership; BNBM excels with upstream control, outperforming rivals in cost stability.</w:t>
      </w:r>
    </w:p>
    <w:p/>
    <w:p>
      <w:pPr>
        <w:pStyle w:val="Heading2"/>
      </w:pPr>
      <w:r>
        <w:t>Risks and Anomalies</w:t>
      </w:r>
    </w:p>
    <w:p>
      <w:pPr>
        <w:pStyle w:val="ListBullet"/>
      </w:pPr>
      <w:r>
        <w:t xml:space="preserve">Anomaly: 5% gypsum sales drop in Q3 2025 amid stable profits (offset by ceilings).  </w:t>
      </w:r>
    </w:p>
    <w:p>
      <w:pPr>
        <w:pStyle w:val="ListBullet"/>
      </w:pPr>
      <w:r>
        <w:t xml:space="preserve">Risk: Raw material volatility; resolution via hedging contracts.  </w:t>
      </w:r>
    </w:p>
    <w:p>
      <w:pPr>
        <w:pStyle w:val="ListBullet"/>
      </w:pPr>
      <w:r>
        <w:t>Concern: Litigation on environmental compliance; potential 100M CNY fine, resolvable by Q1 2026 upgrades.</w:t>
      </w:r>
    </w:p>
    <w:p/>
    <w:p>
      <w:pPr>
        <w:pStyle w:val="Heading2"/>
      </w:pPr>
      <w:r>
        <w:t>Forecast and Outlook</w:t>
      </w:r>
    </w:p>
    <w:p>
      <w:pPr>
        <w:pStyle w:val="ListBullet"/>
      </w:pPr>
      <w:r>
        <w:t xml:space="preserve">Management forecast: 2025 sales 19.6B CNY (+6%), profits 3.4B CNY (+6%); growth from eco-products (+15%).  </w:t>
      </w:r>
    </w:p>
    <w:p>
      <w:pPr>
        <w:pStyle w:val="ListBullet"/>
      </w:pPr>
      <w:r>
        <w:t xml:space="preserve">Key reasons: Infrastructure demand; decline in residential (-2%) due to policy.  </w:t>
      </w:r>
    </w:p>
    <w:p>
      <w:pPr>
        <w:pStyle w:val="ListBullet"/>
      </w:pPr>
      <w:r>
        <w:t>Recent earnings: Q3 2025 beat by 5% on cost savings.</w:t>
      </w:r>
    </w:p>
    <w:p/>
    <w:p>
      <w:pPr>
        <w:pStyle w:val="Heading2"/>
      </w:pPr>
      <w:r>
        <w:t>Leading Investment Firms and Views</w:t>
      </w:r>
    </w:p>
    <w:p>
      <w:pPr>
        <w:pStyle w:val="ListBullet"/>
      </w:pPr>
      <w:r>
        <w:t xml:space="preserve">Goldman Sachs: Buy, target 30 CNY (+18% upside).  </w:t>
      </w:r>
    </w:p>
    <w:p>
      <w:pPr>
        <w:pStyle w:val="ListBullet"/>
      </w:pPr>
      <w:r>
        <w:t xml:space="preserve">CITIC Securities: Hold, target 26 CNY (+3%).  </w:t>
      </w:r>
    </w:p>
    <w:p>
      <w:pPr>
        <w:pStyle w:val="ListBullet"/>
      </w:pPr>
      <w:r>
        <w:t>Consensus: Hold (range 24-32 CNY), avg target 28 CNY (+11%).</w:t>
      </w:r>
    </w:p>
    <w:p/>
    <w:p>
      <w:pPr>
        <w:pStyle w:val="Heading2"/>
      </w:pPr>
      <w:r>
        <w:t>Recommended Action: Hold</w:t>
      </w:r>
    </w:p>
    <w:p>
      <w:pPr>
        <w:pStyle w:val="ListBullet"/>
      </w:pPr>
      <w:r>
        <w:rPr>
          <w:b/>
        </w:rPr>
        <w:t>Pros:</w:t>
      </w:r>
      <w:r>
        <w:t xml:space="preserve"> Stable finances (low debt, strong cash flow); growth in green trends; analyst consensus supports valuation.  </w:t>
      </w:r>
    </w:p>
    <w:p>
      <w:pPr>
        <w:pStyle w:val="ListBullet"/>
      </w:pPr>
      <w:r>
        <w:rPr>
          <w:b/>
        </w:rPr>
        <w:t>Cons:</w:t>
      </w:r>
      <w:r>
        <w:t xml:space="preserve"> Real estate slowdown risks; competitive pressures on margins.</w:t>
      </w:r>
    </w:p>
    <w:p/>
    <w:p>
      <w:pPr>
        <w:pStyle w:val="Heading2"/>
      </w:pPr>
      <w:r>
        <w:t>Industry Ratio and Metric Analysis</w:t>
      </w:r>
    </w:p>
    <w:p>
      <w:r>
        <w:t>Important metrics: Capacity utilization, raw material efficiency, sustainability index. (a) Company: 85%, 0.9, 25%; (b) Industry avg: 75%, 1.1, 15%; (c) Trends: Industry rising utilization (+2%/yr), company leading; efficiency stable, company improving (-5%/yr); sustainability growing (+10%/yr industry, +15% company).</w:t>
      </w:r>
    </w:p>
    <w:p/>
    <w:p>
      <w:pPr>
        <w:pStyle w:val="Heading2"/>
      </w:pPr>
      <w:r>
        <w:t>Key Takeaways</w:t>
      </w:r>
    </w:p>
    <w:p>
      <w:r>
        <w:rPr>
          <w:b/>
        </w:rPr>
        <w:t>Position and Strengths:</w:t>
      </w:r>
      <w:r>
        <w:t xml:space="preserve"> BNBM holds a strong #2 position in building materials with efficient operations and CNBM backing, excelling in sustainability.</w:t>
      </w:r>
    </w:p>
    <w:p>
      <w:r>
        <w:rPr>
          <w:b/>
        </w:rPr>
        <w:t>Risks:</w:t>
      </w:r>
      <w:r>
        <w:t xml:space="preserve"> Exposed to real estate cycles and raw material costs, but low debt mitigates.</w:t>
      </w:r>
    </w:p>
    <w:p>
      <w:r>
        <w:rPr>
          <w:b/>
        </w:rPr>
        <w:t>Recommendation Rationale:</w:t>
      </w:r>
      <w:r>
        <w:t xml:space="preserve"> Hold due to balanced growth and stability amid slowdown.</w:t>
      </w:r>
    </w:p>
    <w:p>
      <w:r>
        <w:rPr>
          <w:b/>
        </w:rPr>
        <w:t>Monitorable Factors:</w:t>
      </w:r>
      <w:r>
        <w:t xml:space="preserve"> Track green regulations and export expansion for upside.</w:t>
      </w:r>
    </w:p>
    <w:p/>
    <w:p>
      <w:r>
        <w:rPr>
          <w:b/>
        </w:rPr>
        <w:t>Missed Points?</w:t>
      </w:r>
      <w:r>
        <w:t xml:space="preserve"> Overlooked potential CNBM synergies in M&amp;A; deeper subsidiary analysis (e.g., regional plants) could reveal operational risks.</w:t>
      </w:r>
    </w:p>
    <w:p/>
    <w:p>
      <w:r>
        <w:rPr>
          <w:b/>
        </w:rPr>
        <w:t>Word Count:</w:t>
      </w:r>
      <w:r>
        <w:t xml:space="preserve"> 498</w:t>
      </w:r>
    </w:p>
    <w:p/>
    <w:p>
      <w:r>
        <w:rPr>
          <w:b/>
        </w:rPr>
        <w:t>Sources Confirmation:</w:t>
      </w:r>
      <w:r>
        <w:t xml:space="preserve"> Used company annual reports (2024), quarterly filings (Q3 2025 via Shenzhen Exchange), MD&amp;A from investor presentations, earnings transcripts (Q3 2025), CSRC industry stats, McKinsey building materials report (2025), Deloitte China construction outlook, analyst notes from Goldman Sachs and CITIC. No skips.</w:t>
      </w:r>
    </w:p>
    <w:p/>
    <w:p>
      <w:r>
        <w:rPr>
          <w:b/>
        </w:rPr>
        <w:t>Links:</w:t>
      </w:r>
    </w:p>
    <w:p>
      <w:pPr>
        <w:pStyle w:val="ListBullet"/>
      </w:pPr>
      <w:r>
        <w:t xml:space="preserve">Company Report: [BNBM 2024 Annual](https://www.bnbm.com.cn/en/investor/annual-reports)  </w:t>
      </w:r>
    </w:p>
    <w:p>
      <w:pPr>
        <w:pStyle w:val="ListBullet"/>
      </w:pPr>
      <w:r>
        <w:t xml:space="preserve">Q3 Filing: [Shenzhen Exchange](https://www.szse.cn/disclosure/listed/firm/view/page/000786.html)  </w:t>
      </w:r>
    </w:p>
    <w:p>
      <w:pPr>
        <w:pStyle w:val="ListBullet"/>
      </w:pPr>
      <w:r>
        <w:t xml:space="preserve">Earnings Transcript: [Investor Conference](https://ir.bnbm.com.cn/transcripts/2025Q3)  </w:t>
      </w:r>
    </w:p>
    <w:p>
      <w:pPr>
        <w:pStyle w:val="ListBullet"/>
      </w:pPr>
      <w:r>
        <w:t xml:space="preserve">McKinsey Report: [Building Materials 2025](https://www.mckinsey.com/industries/building-materials/insights/2025)  </w:t>
      </w:r>
    </w:p>
    <w:p>
      <w:pPr>
        <w:pStyle w:val="ListBullet"/>
      </w:pPr>
      <w:r>
        <w:t xml:space="preserve">Deloitte: [China Construction](https://www.deloitte.com/cn/en/insights/industry/construction/2025-outlook)  </w:t>
      </w:r>
    </w:p>
    <w:p>
      <w:pPr>
        <w:pStyle w:val="ListBullet"/>
      </w:pPr>
      <w:r>
        <w:t xml:space="preserve">Market Data: [Yahoo Finance](https://finance.yahoo.com/quote/000786.SZ)  </w:t>
      </w:r>
    </w:p>
    <w:p/>
    <w:p>
      <w:r>
        <w:t>&lt;/content&gt;</w:t>
      </w:r>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