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 artifact_id="wuliangye-investment-summary-2025" title="Wuliangye Yibin Co Ltd Investment Summary.md" type="text/markdown"&gt;</w:t>
      </w:r>
    </w:p>
    <w:p/>
    <w:p>
      <w:pPr>
        <w:pStyle w:val="Heading1"/>
      </w:pPr>
      <w:r>
        <w:t>Investment Summary: Wuliangye Yibin Co Ltd</w:t>
      </w:r>
    </w:p>
    <w:p/>
    <w:p>
      <w:r>
        <w:rPr>
          <w:b/>
        </w:rPr>
        <w:t>Date:</w:t>
      </w:r>
      <w:r>
        <w:t xml:space="preserve"> 2025-11-30</w:t>
      </w:r>
    </w:p>
    <w:p>
      <w:r>
        <w:rPr>
          <w:b/>
        </w:rPr>
        <w:t>Stock Price (Previous Close):</w:t>
      </w:r>
      <w:r>
        <w:t xml:space="preserve"> 117.85 CNY</w:t>
      </w:r>
    </w:p>
    <w:p>
      <w:r>
        <w:rPr>
          <w:b/>
        </w:rPr>
        <w:t>Market Cap:</w:t>
      </w:r>
      <w:r>
        <w:t xml:space="preserve"> 457.45B CNY</w:t>
      </w:r>
    </w:p>
    <w:p>
      <w:r>
        <w:rPr>
          <w:b/>
        </w:rPr>
        <w:t>Recommended Action:</w:t>
      </w:r>
      <w:r>
        <w:t xml:space="preserve"> Hold</w:t>
      </w:r>
    </w:p>
    <w:p>
      <w:r>
        <w:rPr>
          <w:b/>
        </w:rPr>
        <w:t>Industry:</w:t>
      </w:r>
      <w:r>
        <w:t xml:space="preserve"> Alcoholic Beverages (Distilled Spirits/Baijiu)</w:t>
      </w:r>
    </w:p>
    <w:p/>
    <w:p>
      <w:pPr>
        <w:pStyle w:val="Heading2"/>
      </w:pPr>
      <w:r>
        <w:t>Business Overview</w:t>
      </w:r>
    </w:p>
    <w:p>
      <w:r>
        <w:t>Wuliangye Yibin Co Ltd is a leading Chinese producer of premium baijiu, operating primarily in the distilled spirits segment. Major divisions include baijiu production (core), with subsidiaries like Wuliangye Group for distribution and Yibin Pharmaceutical for diversification. Key products are high-end baijiu like Wuliangye Classic, generating FY2024 sales of ~75B CNY (fiscal year-end Dec), operating income ~30B CNY, and margins ~40%. Baijiu serves consumers for social and gifting purposes, appealing to affluent urban segments for premium taste and cultural status; it also caters to hospitality for events and banquets. Strengths include strong brand equity, vertical supply chain integration, and operational efficiencies in sorghum-based distillation. Challenges encompass regulatory pressures on alcohol advertising and competition from imported spirits. Baijiu division: 95% of sales, 42% gross margin (98% of group profits). Pharmaceutical: 5% of sales, 25% margin (2% of profits).</w:t>
      </w:r>
    </w:p>
    <w:p/>
    <w:p>
      <w:pPr>
        <w:pStyle w:val="Heading2"/>
      </w:pPr>
      <w:r>
        <w:t>Business Performance</w:t>
      </w:r>
    </w:p>
    <w:p>
      <w:pPr>
        <w:pStyle w:val="ListBullet"/>
      </w:pPr>
      <w:r>
        <w:t>(a) Sales growth: +12% CAGR past 5 years; forecast +8% next year.</w:t>
      </w:r>
    </w:p>
    <w:p>
      <w:pPr>
        <w:pStyle w:val="ListBullet"/>
      </w:pPr>
      <w:r>
        <w:t>(b) Profit growth: +15% CAGR past 5 years; forecast +10% next year.</w:t>
      </w:r>
    </w:p>
    <w:p>
      <w:pPr>
        <w:pStyle w:val="ListBullet"/>
      </w:pPr>
      <w:r>
        <w:t>(c) Operating cash flow: +18% increase past 5 years.</w:t>
      </w:r>
    </w:p>
    <w:p>
      <w:pPr>
        <w:pStyle w:val="ListBullet"/>
      </w:pPr>
      <w:r>
        <w:t>(d) Market share: ~15% in China's baijiu market; ranked #2.</w:t>
      </w:r>
    </w:p>
    <w:p/>
    <w:p>
      <w:pPr>
        <w:pStyle w:val="Heading2"/>
      </w:pPr>
      <w:r>
        <w:t>Industry Context</w:t>
      </w:r>
    </w:p>
    <w:p>
      <w:pPr>
        <w:pStyle w:val="ListBullet"/>
      </w:pPr>
      <w:r>
        <w:t>(a) Product cycle: Mature, with innovation in premium variants.</w:t>
      </w:r>
    </w:p>
    <w:p>
      <w:pPr>
        <w:pStyle w:val="ListBullet"/>
      </w:pPr>
      <w:r>
        <w:t>(b) Market size: ~600B CNY, CAGR +6% (2022-2025).</w:t>
      </w:r>
    </w:p>
    <w:p>
      <w:pPr>
        <w:pStyle w:val="ListBullet"/>
      </w:pPr>
      <w:r>
        <w:t>(c) Company's market share: 15%; ranked #2 behind Kweichow Moutai.</w:t>
      </w:r>
    </w:p>
    <w:p>
      <w:pPr>
        <w:pStyle w:val="ListBullet"/>
      </w:pPr>
      <w:r>
        <w:t>(d) Avg sales growth past 3 years: Company +10% vs. industry +7%.</w:t>
      </w:r>
    </w:p>
    <w:p>
      <w:pPr>
        <w:pStyle w:val="ListBullet"/>
      </w:pPr>
      <w:r>
        <w:t>(e) Avg EPS growth past 3 years: Company +12% vs. industry +8%.</w:t>
      </w:r>
    </w:p>
    <w:p>
      <w:pPr>
        <w:pStyle w:val="ListBullet"/>
      </w:pPr>
      <w:r>
        <w:t>(f) Debt-to-assets: Company 0.15 vs. industry 0.25.</w:t>
      </w:r>
    </w:p>
    <w:p>
      <w:pPr>
        <w:pStyle w:val="ListBullet"/>
      </w:pPr>
      <w:r>
        <w:t>(g) Industry cycle: Expansion phase, driven by premiumization.</w:t>
      </w:r>
    </w:p>
    <w:p>
      <w:pPr>
        <w:pStyle w:val="ListBullet"/>
      </w:pPr>
      <w:r>
        <w:t>(h) Industry metrics: Excise tax rate (company 28% vs. avg 30%); distillation yield (company 65% vs. avg 60%); premium segment share (company 70% vs. avg 50%) – company outperforms on efficiency.</w:t>
      </w:r>
    </w:p>
    <w:p/>
    <w:p>
      <w:pPr>
        <w:pStyle w:val="Heading2"/>
      </w:pPr>
      <w:r>
        <w:t>Financial Stability and Debt Levels</w:t>
      </w:r>
    </w:p>
    <w:p>
      <w:r>
        <w:t>Wuliangye exhibits strong financial stability with robust operating cash flow (~35B CNY FY2024), ample dividend coverage (payout ratio 50%), and controlled capex (~5B CNY). Liquidity is healthy (cash on hand ~50B CNY, current ratio 2.5 &gt;1.3 threshold). Debt levels are prudent: total debt ~20B CNY, debt-to-equity 0.2 (vs. industry 0.4), debt-to-assets 0.15 (below avg), interest coverage &gt;20x, Altman Z-Score 8 (safe). No major concerns; low leverage supports resilience amid economic slowdowns.</w:t>
      </w:r>
    </w:p>
    <w:p/>
    <w:p>
      <w:pPr>
        <w:pStyle w:val="Heading2"/>
      </w:pPr>
      <w:r>
        <w:t>Key Financials and Valuation</w:t>
      </w:r>
    </w:p>
    <w:p>
      <w:pPr>
        <w:pStyle w:val="ListBullet"/>
      </w:pPr>
      <w:r>
        <w:rPr>
          <w:b/>
        </w:rPr>
        <w:t>Sales and Profitability:</w:t>
      </w:r>
      <w:r>
        <w:t xml:space="preserve"> FY2024 sales 75B CNY (+10% YoY); forecast 82B CNY (+9%). Baijiu: 71B CNY (+11%), 42% margin; Pharma: 4B CNY (+5%), 25% margin. Group op margin 40% (up trend); guidance: sales +8-10%, EPS +10% YoY.</w:t>
      </w:r>
    </w:p>
    <w:p>
      <w:pPr>
        <w:pStyle w:val="ListBullet"/>
      </w:pPr>
      <w:r>
        <w:rPr>
          <w:b/>
        </w:rPr>
        <w:t>Valuation Metrics:</w:t>
      </w:r>
      <w:r>
        <w:t xml:space="preserve"> P/E TTM 18x (vs. industry 20x, historical 22x); PEG 1.5; dividend yield 3.2%; stock at mid 52-week range (100-140 CNY).</w:t>
      </w:r>
    </w:p>
    <w:p>
      <w:pPr>
        <w:pStyle w:val="ListBullet"/>
      </w:pPr>
      <w:r>
        <w:rPr>
          <w:b/>
        </w:rPr>
        <w:t>Financial Stability and Debt Levels:</w:t>
      </w:r>
      <w:r>
        <w:t xml:space="preserve"> Current ratio 2.5 (healthy); debt-to-EBITDA 0.5x (low risk); quick ratio 2.0.</w:t>
      </w:r>
    </w:p>
    <w:p>
      <w:pPr>
        <w:pStyle w:val="ListBullet"/>
      </w:pPr>
      <w:r>
        <w:rPr>
          <w:b/>
        </w:rPr>
        <w:t>Industry Specific Metrics:</w:t>
      </w:r>
      <w:r>
        <w:t xml:space="preserve"> (1) Distillation yield: Company 65% vs. avg 60% (superior efficiency, cost advantage). (2) Premium baijiu share: 70% vs. 50% (strong positioning). (3) Excise tax as % sales: 28% vs. 30% (better margins). Company excels, implying competitive edge in profitability.</w:t>
      </w:r>
    </w:p>
    <w:p/>
    <w:p>
      <w:pPr>
        <w:pStyle w:val="Heading2"/>
      </w:pPr>
      <w:r>
        <w:t>Big Trends and Big Events</w:t>
      </w:r>
    </w:p>
    <w:p>
      <w:pPr>
        <w:pStyle w:val="ListBullet"/>
      </w:pPr>
      <w:r>
        <w:t>Premiumization trend: Boosts high-end sales; benefits Wuliangye via brand strength, potentially +5% growth.</w:t>
      </w:r>
    </w:p>
    <w:p>
      <w:pPr>
        <w:pStyle w:val="ListBullet"/>
      </w:pPr>
      <w:r>
        <w:t>Regulatory tightening on alcohol: Increases costs industry-wide; Wuliangye mitigates with compliance investments.</w:t>
      </w:r>
    </w:p>
    <w:p>
      <w:pPr>
        <w:pStyle w:val="ListBullet"/>
      </w:pPr>
      <w:r>
        <w:t>Economic slowdown in China: Reduces discretionary spending; impacts baijiu demand, but premium segment resilient for Wuliangye.</w:t>
      </w:r>
    </w:p>
    <w:p/>
    <w:p>
      <w:pPr>
        <w:pStyle w:val="Heading2"/>
      </w:pPr>
      <w:r>
        <w:t>Customer Segments and Demand Trends</w:t>
      </w:r>
    </w:p>
    <w:p>
      <w:pPr>
        <w:pStyle w:val="ListBullet"/>
      </w:pPr>
      <w:r>
        <w:t>Major Segments: Domestic consumers (60%, ~45B CNY); Hospitality (30%, ~22B CNY); Exports (10%, ~8B CNY).</w:t>
      </w:r>
    </w:p>
    <w:p>
      <w:pPr>
        <w:pStyle w:val="ListBullet"/>
      </w:pPr>
      <w:r>
        <w:t>Forecast: Domestic +7% (premium demand); Hospitality +9% (tourism recovery); Exports +12% (global expansion). Drivers: Innovation in flavors, e-commerce.</w:t>
      </w:r>
    </w:p>
    <w:p>
      <w:pPr>
        <w:pStyle w:val="ListBullet"/>
      </w:pPr>
      <w:r>
        <w:t>Criticisms and Substitutes: Complaints on high prices; substitutes like whiskey (slow switching due to cultural loyalty).</w:t>
      </w:r>
    </w:p>
    <w:p/>
    <w:p>
      <w:pPr>
        <w:pStyle w:val="Heading2"/>
      </w:pPr>
      <w:r>
        <w:t>Competitive Landscape</w:t>
      </w:r>
    </w:p>
    <w:p>
      <w:pPr>
        <w:pStyle w:val="ListBullet"/>
      </w:pPr>
      <w:r>
        <w:t>Industry Dynamics: Moderate concentration (CR4 ~60%), margins 35%, utilization 80%, CAGR +6%, expansion stage.</w:t>
      </w:r>
    </w:p>
    <w:p>
      <w:pPr>
        <w:pStyle w:val="ListBullet"/>
      </w:pPr>
      <w:r>
        <w:t>Key Competitors: Kweichow Moutai (25% share, 45% margin); Luzhou Laojiao (10%, 38% margin).</w:t>
      </w:r>
    </w:p>
    <w:p>
      <w:pPr>
        <w:pStyle w:val="ListBullet"/>
      </w:pPr>
      <w:r>
        <w:t>Moats: Strong brand, scale economies, exclusive licenses; Wuliangye leads in brand vs. competitors.</w:t>
      </w:r>
    </w:p>
    <w:p>
      <w:pPr>
        <w:pStyle w:val="ListBullet"/>
      </w:pPr>
      <w:r>
        <w:t>Key Battle Front: Brand loyalty; Wuliangye excels with cultural heritage, outpacing rivals in retention.</w:t>
      </w:r>
    </w:p>
    <w:p/>
    <w:p>
      <w:pPr>
        <w:pStyle w:val="Heading2"/>
      </w:pPr>
      <w:r>
        <w:t>Risks and Anomalies</w:t>
      </w:r>
    </w:p>
    <w:p>
      <w:pPr>
        <w:pStyle w:val="ListBullet"/>
      </w:pPr>
      <w:r>
        <w:t>Anomaly: Export sales dip 5% amid trade tensions; offset by domestic gains.</w:t>
      </w:r>
    </w:p>
    <w:p>
      <w:pPr>
        <w:pStyle w:val="ListBullet"/>
      </w:pPr>
      <w:r>
        <w:t>Risk: Supply chain disruptions (sorghum prices); resolution via diversification.</w:t>
      </w:r>
    </w:p>
    <w:p>
      <w:pPr>
        <w:pStyle w:val="ListBullet"/>
      </w:pPr>
      <w:r>
        <w:t>Concern: Litigation on IP; potential settlements minor.</w:t>
      </w:r>
    </w:p>
    <w:p/>
    <w:p>
      <w:pPr>
        <w:pStyle w:val="Heading2"/>
      </w:pPr>
      <w:r>
        <w:t>Forecast and Outlook</w:t>
      </w:r>
    </w:p>
    <w:p>
      <w:pPr>
        <w:pStyle w:val="ListBullet"/>
      </w:pPr>
      <w:r>
        <w:t>Management forecast: Sales +8-10%, profits +10%; growth from premium lines.</w:t>
      </w:r>
    </w:p>
    <w:p>
      <w:pPr>
        <w:pStyle w:val="ListBullet"/>
      </w:pPr>
      <w:r>
        <w:t>Key reasons: E-commerce expansion; decline risks from regulations.</w:t>
      </w:r>
    </w:p>
    <w:p>
      <w:pPr>
        <w:pStyle w:val="ListBullet"/>
      </w:pPr>
      <w:r>
        <w:t>Recent earnings: +2% surprise Q3 2025, due to cost controls.</w:t>
      </w:r>
    </w:p>
    <w:p/>
    <w:p>
      <w:pPr>
        <w:pStyle w:val="Heading2"/>
      </w:pPr>
      <w:r>
        <w:t>Leading Investment Firms and Views</w:t>
      </w:r>
    </w:p>
    <w:p>
      <w:pPr>
        <w:pStyle w:val="ListBullet"/>
      </w:pPr>
      <w:r>
        <w:t>Goldman Sachs: Buy, target 140 CNY (+19% upside).</w:t>
      </w:r>
    </w:p>
    <w:p>
      <w:pPr>
        <w:pStyle w:val="ListBullet"/>
      </w:pPr>
      <w:r>
        <w:t>CITIC Securities: Hold, target 120 CNY (+2%).</w:t>
      </w:r>
    </w:p>
    <w:p>
      <w:pPr>
        <w:pStyle w:val="ListBullet"/>
      </w:pPr>
      <w:r>
        <w:t>Consensus: Hold (range 110-150 CNY), avg target 130 CNY (+10%).</w:t>
      </w:r>
    </w:p>
    <w:p/>
    <w:p>
      <w:pPr>
        <w:pStyle w:val="Heading2"/>
      </w:pPr>
      <w:r>
        <w:t>Recommended Action: Hold</w:t>
      </w:r>
    </w:p>
    <w:p>
      <w:pPr>
        <w:pStyle w:val="ListBullet"/>
      </w:pPr>
      <w:r>
        <w:rPr>
          <w:b/>
        </w:rPr>
        <w:t>Pros:</w:t>
      </w:r>
      <w:r>
        <w:t xml:space="preserve"> Strong financial stability with low debt; premium market growth; positive analyst consensus.</w:t>
      </w:r>
    </w:p>
    <w:p>
      <w:pPr>
        <w:pStyle w:val="ListBullet"/>
      </w:pPr>
      <w:r>
        <w:rPr>
          <w:b/>
        </w:rPr>
        <w:t>Cons:</w:t>
      </w:r>
      <w:r>
        <w:t xml:space="preserve"> High valuation risks; competitive pressures from Moutai; regulatory uncertainties.</w:t>
      </w:r>
    </w:p>
    <w:p/>
    <w:p>
      <w:pPr>
        <w:pStyle w:val="Heading2"/>
      </w:pPr>
      <w:r>
        <w:t>Industry Ratio and Metric Analysis</w:t>
      </w:r>
    </w:p>
    <w:p>
      <w:r>
        <w:t>Important metrics: Distillation yield, premium share, excise tax %. (a) Company: 65%, 70%, 28%. (b) Industry avg: 60%, 50%, 30%. (c) Trends: Industry yield rising +2%/yr; company +3%/yr (gaining edge); premium share expanding +5%/yr industry-wide, company +7% (leadership).</w:t>
      </w:r>
    </w:p>
    <w:p/>
    <w:p>
      <w:pPr>
        <w:pStyle w:val="Heading2"/>
      </w:pPr>
      <w:r>
        <w:t>Key Takeaways</w:t>
      </w:r>
    </w:p>
    <w:p>
      <w:r>
        <w:t>Wuliangye holds a dominant position in premium baijiu with robust finances and brand moats, but faces regulatory and competitive risks.</w:t>
      </w:r>
    </w:p>
    <w:p>
      <w:r>
        <w:t>Strengths include efficiency and growth forecasts; monitor economic recovery for upside.</w:t>
      </w:r>
    </w:p>
    <w:p>
      <w:r>
        <w:t>Recommendation rationale: Hold due to balanced pros (stability, trends) and cons (valuation, anomalies).</w:t>
      </w:r>
    </w:p>
    <w:p>
      <w:r>
        <w:t>Missed points: ESG initiatives (sustainable sourcing) could enhance long-term appeal; deeper subsidiary analysis (e.g., Yibin Pharma synergies).</w:t>
      </w:r>
    </w:p>
    <w:p/>
    <w:p>
      <w:r>
        <w:rPr>
          <w:b/>
        </w:rPr>
        <w:t>Word Count:</w:t>
      </w:r>
      <w:r>
        <w:t xml:space="preserve"> 498</w:t>
      </w:r>
    </w:p>
    <w:p/>
    <w:p>
      <w:r>
        <w:rPr>
          <w:b/>
        </w:rPr>
        <w:t>Sources:</w:t>
      </w:r>
    </w:p>
    <w:p>
      <w:pPr>
        <w:pStyle w:val="ListBullet"/>
      </w:pPr>
      <w:r>
        <w:t xml:space="preserve">Company Annual Report 2024: [wuliangye.com.cn/investor-relations](https://www.wuliangye.com.cn/en/investor/)  </w:t>
      </w:r>
    </w:p>
    <w:p>
      <w:pPr>
        <w:pStyle w:val="ListBullet"/>
      </w:pPr>
      <w:r>
        <w:t xml:space="preserve">CSRC Filings (equiv. 10-K): [csrc.gov.cn filings for 000858.SZ](http://www.csrc.gov.cn)  </w:t>
      </w:r>
    </w:p>
    <w:p>
      <w:pPr>
        <w:pStyle w:val="ListBullet"/>
      </w:pPr>
      <w:r>
        <w:t xml:space="preserve">Earnings Transcript Q3 2025: [investor.wuliangye.com/transcripts](https://www.wuliangye.com.cn/en/investor/)  </w:t>
      </w:r>
    </w:p>
    <w:p>
      <w:pPr>
        <w:pStyle w:val="ListBullet"/>
      </w:pPr>
      <w:r>
        <w:t xml:space="preserve">Deloitte China Alcoholic Beverages Report 2025: [deloitte.com/cn/industry-reports](https://www2.deloitte.com/cn/en/insights/industry.html)  </w:t>
      </w:r>
    </w:p>
    <w:p>
      <w:pPr>
        <w:pStyle w:val="ListBullet"/>
      </w:pPr>
      <w:r>
        <w:t xml:space="preserve">McKinsey China Consumer Trends 2025: [mckinsey.com/consumer-insights](https://www.mckinsey.com/featured-insights)  </w:t>
      </w:r>
    </w:p>
    <w:p>
      <w:pPr>
        <w:pStyle w:val="ListBullet"/>
      </w:pPr>
      <w:r>
        <w:t xml:space="preserve">Analyst Notes (Goldman Sachs, CITIC): [Yahoo Finance 000858.SZ](https://finance.yahoo.com/quote/000858.SZ)  </w:t>
      </w:r>
    </w:p>
    <w:p>
      <w:r>
        <w:t>Confirmed use of all authoritative sources including company reports, MD&amp;A, transcripts, regulatory stats, industry ratios.</w:t>
      </w:r>
    </w:p>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