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Heading 1 Example</w:t>
      </w:r>
    </w:p>
    <w:p>
      <w:r>
        <w:t>Normal paragraph following Heading 1.</w:t>
      </w:r>
    </w:p>
    <w:p>
      <w:pPr>
        <w:pStyle w:val="Heading2"/>
      </w:pPr>
      <w:r>
        <w:t>Heading 2 Example</w:t>
      </w:r>
    </w:p>
    <w:p>
      <w:r>
        <w:t>Normal paragraph following Heading 2.</w:t>
      </w:r>
    </w:p>
    <w:p>
      <w:pPr>
        <w:pStyle w:val="Heading3"/>
      </w:pPr>
      <w:r>
        <w:t>Heading 3 Example</w:t>
      </w:r>
    </w:p>
    <w:p>
      <w:r>
        <w:t>Normal paragraph following Heading 3.</w:t>
      </w:r>
    </w:p>
    <w:p>
      <w:pPr>
        <w:pStyle w:val="Heading4"/>
      </w:pPr>
      <w:r>
        <w:t>Heading 4 Example</w:t>
      </w:r>
    </w:p>
    <w:p>
      <w:r>
        <w:t>Normal paragraph following Heading 4.</w:t>
      </w:r>
    </w:p>
    <w:p>
      <w:pPr>
        <w:pStyle w:val="Heading2"/>
      </w:pPr>
      <w:r>
        <w:t>List Examples</w:t>
      </w:r>
    </w:p>
    <w:p>
      <w:pPr>
        <w:pStyle w:val="ListBullet"/>
      </w:pPr>
      <w:r>
        <w:t>Bullet item 1</w:t>
      </w:r>
    </w:p>
    <w:p>
      <w:pPr>
        <w:pStyle w:val="ListBullet"/>
      </w:pPr>
      <w:r>
        <w:t>Bullet item 2</w:t>
      </w:r>
    </w:p>
    <w:p>
      <w:pPr>
        <w:pStyle w:val="ListNumber"/>
      </w:pPr>
      <w:r>
        <w:t>Number item 1</w:t>
      </w:r>
    </w:p>
    <w:p>
      <w:pPr>
        <w:pStyle w:val="ListNumber"/>
      </w:pPr>
      <w:r>
        <w:t>Number item 2</w:t>
      </w:r>
    </w:p>
    <w:p>
      <w:pPr>
        <w:pStyle w:val="Heading2"/>
      </w:pPr>
      <w:r>
        <w:t>Table Example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 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Column 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Column 3</w:t>
            </w:r>
          </w:p>
        </w:tc>
      </w:tr>
      <w:tr>
        <w:tc>
          <w:tcPr>
            <w:tcW w:type="dxa" w:w="2880"/>
          </w:tcPr>
          <w:p>
            <w:r>
              <w:t>Data 1-1</w:t>
            </w:r>
          </w:p>
        </w:tc>
        <w:tc>
          <w:tcPr>
            <w:tcW w:type="dxa" w:w="2880"/>
          </w:tcPr>
          <w:p>
            <w:r>
              <w:t>Data 1-2</w:t>
            </w:r>
          </w:p>
        </w:tc>
        <w:tc>
          <w:tcPr>
            <w:tcW w:type="dxa" w:w="2880"/>
          </w:tcPr>
          <w:p>
            <w:r>
              <w:t>Data 1-3</w:t>
            </w:r>
          </w:p>
        </w:tc>
      </w:tr>
      <w:tr>
        <w:tc>
          <w:tcPr>
            <w:tcW w:type="dxa" w:w="2880"/>
          </w:tcPr>
          <w:p>
            <w:r>
              <w:t>Data 2-1</w:t>
            </w:r>
          </w:p>
        </w:tc>
        <w:tc>
          <w:tcPr>
            <w:tcW w:type="dxa" w:w="2880"/>
          </w:tcPr>
          <w:p>
            <w:r>
              <w:t>Data 2-2</w:t>
            </w:r>
          </w:p>
        </w:tc>
        <w:tc>
          <w:tcPr>
            <w:tcW w:type="dxa" w:w="2880"/>
          </w:tcPr>
          <w:p>
            <w:r>
              <w:t>Data 2-3</w:t>
            </w:r>
          </w:p>
        </w:tc>
      </w:tr>
    </w:tbl>
    <w:p>
      <w:pPr>
        <w:pStyle w:val="Heading2"/>
      </w:pPr>
      <w:r>
        <w:t>Quote Example</w:t>
      </w:r>
    </w:p>
    <w:p>
      <w:pPr>
        <w:ind w:left="720" w:firstLine="0"/>
      </w:pPr>
      <w:r>
        <w:t>This is a blockquote example.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 w:line="259" w:lineRule="auto"/>
    </w:pPr>
    <w:rPr>
      <w:rFonts w:ascii="Calibri" w:hAnsi="Calibri" w:eastAsia="微软雅黑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2F549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2F549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76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1F3763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80" w:after="40"/>
      <w:outlineLvl w:val="4"/>
    </w:pPr>
    <w:rPr>
      <w:rFonts w:asciiTheme="majorHAnsi" w:eastAsiaTheme="majorEastAsia" w:hAnsiTheme="majorHAnsi" w:cstheme="majorBidi" w:ascii="Calibri Light" w:hAnsi="Calibri Light" w:eastAsia="微软雅黑"/>
      <w:b/>
      <w:color w:val="1F3763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40" w:after="40"/>
      <w:outlineLvl w:val="5"/>
    </w:pPr>
    <w:rPr>
      <w:rFonts w:asciiTheme="majorHAnsi" w:eastAsiaTheme="majorEastAsia" w:hAnsiTheme="majorHAnsi" w:cstheme="majorBidi" w:ascii="Calibri Light" w:hAnsi="Calibri Light" w:eastAsia="微软雅黑"/>
      <w:b w:val="0"/>
      <w:i/>
      <w:iCs/>
      <w:color w:val="1F3763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80" w:before="0"/>
      <w:ind w:left="720"/>
      <w:contextualSpacing/>
    </w:pPr>
    <w:rPr>
      <w:rFonts w:ascii="Calibri" w:hAnsi="Calibri" w:eastAsia="微软雅黑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before="0"/>
      <w:contextualSpacing/>
    </w:pPr>
    <w:rPr>
      <w:rFonts w:ascii="Calibri" w:hAnsi="Calibri" w:eastAsia="微软雅黑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before="0"/>
      <w:contextualSpacing/>
    </w:pPr>
    <w:rPr>
      <w:rFonts w:ascii="Calibri" w:hAnsi="Calibri" w:eastAsia="微软雅黑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80"/>
    </w:pPr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