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urier New" w:hAnsi="Courier New"/>
          <w:sz w:val="20"/>
        </w:rPr>
        <w:t>---</w:t>
      </w:r>
    </w:p>
    <w:p>
      <w:r>
        <w:rPr>
          <w:rFonts w:ascii="Courier New" w:hAnsi="Courier New"/>
          <w:sz w:val="20"/>
        </w:rPr>
        <w:t>artifact_id: vanke-investment-summary-2025</w:t>
      </w:r>
    </w:p>
    <w:p>
      <w:r>
        <w:rPr>
          <w:rFonts w:ascii="Courier New" w:hAnsi="Courier New"/>
          <w:sz w:val="20"/>
        </w:rPr>
        <w:t>title: China Vanke Co Ltd Investment Summary.md</w:t>
      </w:r>
    </w:p>
    <w:p>
      <w:r>
        <w:rPr>
          <w:rFonts w:ascii="Courier New" w:hAnsi="Courier New"/>
          <w:sz w:val="20"/>
        </w:rPr>
        <w:t>contentType: text/markdown</w:t>
      </w:r>
    </w:p>
    <w:p>
      <w:r>
        <w:rPr>
          <w:rFonts w:ascii="Courier New" w:hAnsi="Courier New"/>
          <w:sz w:val="20"/>
        </w:rPr>
        <w:t>---</w:t>
      </w:r>
    </w:p>
    <w:p/>
    <w:p>
      <w:r>
        <w:rPr>
          <w:rFonts w:ascii="Courier New" w:hAnsi="Courier New"/>
          <w:sz w:val="20"/>
        </w:rPr>
        <w:t># Investment Summary: China Vanke Co Ltd</w:t>
      </w:r>
    </w:p>
    <w:p/>
    <w:p>
      <w:r>
        <w:rPr>
          <w:rFonts w:ascii="Courier New" w:hAnsi="Courier New"/>
          <w:sz w:val="20"/>
        </w:rPr>
        <w:t xml:space="preserve">**Current Date:** 2025-11-30  </w:t>
      </w:r>
    </w:p>
    <w:p>
      <w:r>
        <w:rPr>
          <w:rFonts w:ascii="Courier New" w:hAnsi="Courier New"/>
          <w:sz w:val="20"/>
        </w:rPr>
        <w:t xml:space="preserve">**Stock Price (Previous Close):** ¥6.85 (Shenzhen Stock Exchange)  </w:t>
      </w:r>
    </w:p>
    <w:p>
      <w:r>
        <w:rPr>
          <w:rFonts w:ascii="Courier New" w:hAnsi="Courier New"/>
          <w:sz w:val="20"/>
        </w:rPr>
        <w:t xml:space="preserve">**Market Cap:** ¥79.5 billion  </w:t>
      </w:r>
    </w:p>
    <w:p>
      <w:r>
        <w:rPr>
          <w:rFonts w:ascii="Courier New" w:hAnsi="Courier New"/>
          <w:sz w:val="20"/>
        </w:rPr>
        <w:t xml:space="preserve">**Recommended Action:** Hold  </w:t>
      </w:r>
    </w:p>
    <w:p>
      <w:r>
        <w:rPr>
          <w:rFonts w:ascii="Courier New" w:hAnsi="Courier New"/>
          <w:sz w:val="20"/>
        </w:rPr>
        <w:t xml:space="preserve">**Industry:** Real Estate Development  </w:t>
      </w:r>
    </w:p>
    <w:p/>
    <w:p>
      <w:r>
        <w:rPr>
          <w:rFonts w:ascii="Courier New" w:hAnsi="Courier New"/>
          <w:sz w:val="20"/>
        </w:rPr>
        <w:t>## Business Overview</w:t>
      </w:r>
    </w:p>
    <w:p>
      <w:r>
        <w:rPr>
          <w:rFonts w:ascii="Courier New" w:hAnsi="Courier New"/>
          <w:sz w:val="20"/>
        </w:rPr>
        <w:t>China Vanke Co Ltd is a leading real estate developer in China, focusing on residential, commercial, and property management services. Major divisions include Property Development (80% of FY2024 sales, 75% gross profit margin, 78% of group profits), Property Services (15% of sales, 20% margin, 18% of profits), and Other (5% of sales, 15% margin, 4% of profits). In FY2024 (ended Dec 31), sales reached ¥465 billion, operating income ¥28 billion, with margins at 6%. Property Development provides housing solutions for urban middle-class families, enabling affordable homeownership amid urbanization; Property Services offers maintenance and community management to enhance resident living quality. Strengths include strong brand equity and operational scale in tier-1 cities; challenges involve regulatory pressures and market slowdowns in China's property sector.</w:t>
      </w:r>
    </w:p>
    <w:p/>
    <w:p>
      <w:r>
        <w:rPr>
          <w:rFonts w:ascii="Courier New" w:hAnsi="Courier New"/>
          <w:sz w:val="20"/>
        </w:rPr>
        <w:t>## Business Performance</w:t>
      </w:r>
    </w:p>
    <w:p>
      <w:r>
        <w:rPr>
          <w:rFonts w:ascii="Courier New" w:hAnsi="Courier New"/>
          <w:sz w:val="20"/>
        </w:rPr>
        <w:t xml:space="preserve">- (a) Sales growth: -5% CAGR past 5 years; forecast +2% for 2026.  </w:t>
      </w:r>
    </w:p>
    <w:p>
      <w:r>
        <w:rPr>
          <w:rFonts w:ascii="Courier New" w:hAnsi="Courier New"/>
          <w:sz w:val="20"/>
        </w:rPr>
        <w:t xml:space="preserve">- (b) Profit growth: -8% CAGR past 5 years; forecast +3% for 2026.  </w:t>
      </w:r>
    </w:p>
    <w:p>
      <w:r>
        <w:rPr>
          <w:rFonts w:ascii="Courier New" w:hAnsi="Courier New"/>
          <w:sz w:val="20"/>
        </w:rPr>
        <w:t xml:space="preserve">- (c) Operating cash flow: +10% increase in FY2024 vs. prior year.  </w:t>
      </w:r>
    </w:p>
    <w:p>
      <w:r>
        <w:rPr>
          <w:rFonts w:ascii="Courier New" w:hAnsi="Courier New"/>
          <w:sz w:val="20"/>
        </w:rPr>
        <w:t>- (d) Market share: ~4% in China's residential real estate, ranked top 3.</w:t>
      </w:r>
    </w:p>
    <w:p/>
    <w:p>
      <w:r>
        <w:rPr>
          <w:rFonts w:ascii="Courier New" w:hAnsi="Courier New"/>
          <w:sz w:val="20"/>
        </w:rPr>
        <w:t>## Industry Context</w:t>
      </w:r>
    </w:p>
    <w:p>
      <w:r>
        <w:rPr>
          <w:rFonts w:ascii="Courier New" w:hAnsi="Courier New"/>
          <w:sz w:val="20"/>
        </w:rPr>
        <w:t xml:space="preserve">- (a) Product cycle maturity: Mature, with slowing growth phase.  </w:t>
      </w:r>
    </w:p>
    <w:p>
      <w:r>
        <w:rPr>
          <w:rFonts w:ascii="Courier New" w:hAnsi="Courier New"/>
          <w:sz w:val="20"/>
        </w:rPr>
        <w:t xml:space="preserve">- (b) Market size: ¥15 trillion, CAGR +1% (2022-2025).  </w:t>
      </w:r>
    </w:p>
    <w:p>
      <w:r>
        <w:rPr>
          <w:rFonts w:ascii="Courier New" w:hAnsi="Courier New"/>
          <w:sz w:val="20"/>
        </w:rPr>
        <w:t xml:space="preserve">- (c) Company's market share: ~4%, ranked #3.  </w:t>
      </w:r>
    </w:p>
    <w:p>
      <w:r>
        <w:rPr>
          <w:rFonts w:ascii="Courier New" w:hAnsi="Courier New"/>
          <w:sz w:val="20"/>
        </w:rPr>
        <w:t xml:space="preserve">- (d) Avg sales growth past 3 years: Company -3% vs. industry -2%.  </w:t>
      </w:r>
    </w:p>
    <w:p>
      <w:r>
        <w:rPr>
          <w:rFonts w:ascii="Courier New" w:hAnsi="Courier New"/>
          <w:sz w:val="20"/>
        </w:rPr>
        <w:t xml:space="preserve">- (e) Avg EPS growth past 3 years: Company -10% vs. industry -8%.  </w:t>
      </w:r>
    </w:p>
    <w:p>
      <w:r>
        <w:rPr>
          <w:rFonts w:ascii="Courier New" w:hAnsi="Courier New"/>
          <w:sz w:val="20"/>
        </w:rPr>
        <w:t xml:space="preserve">- (f) Debt-to-total assets: Company 0.45 vs. industry 0.50.  </w:t>
      </w:r>
    </w:p>
    <w:p>
      <w:r>
        <w:rPr>
          <w:rFonts w:ascii="Courier New" w:hAnsi="Courier New"/>
          <w:sz w:val="20"/>
        </w:rPr>
        <w:t xml:space="preserve">- (g) Industry cycle: Slowing down phase, akin to a "soft market" in insurance with oversupply.  </w:t>
      </w:r>
    </w:p>
    <w:p>
      <w:r>
        <w:rPr>
          <w:rFonts w:ascii="Courier New" w:hAnsi="Courier New"/>
          <w:sz w:val="20"/>
        </w:rPr>
        <w:t>- (h) Industry metrics: Land bank size (Company 150M sqm vs. avg 100M); Pre-sales ratio (Company 85% vs. avg 80%); Inventory turnover (Company 1.2x vs. avg 1.0x) – Vanke outperforms in efficiency.</w:t>
      </w:r>
    </w:p>
    <w:p/>
    <w:p>
      <w:r>
        <w:rPr>
          <w:rFonts w:ascii="Courier New" w:hAnsi="Courier New"/>
          <w:sz w:val="20"/>
        </w:rPr>
        <w:t>## Financial Stability and Debt Levels</w:t>
      </w:r>
    </w:p>
    <w:p>
      <w:r>
        <w:rPr>
          <w:rFonts w:ascii="Courier New" w:hAnsi="Courier New"/>
          <w:sz w:val="20"/>
        </w:rPr>
        <w:t>Vanke maintains moderate financial stability with FY2024 operating cash flow of ¥50 billion supporting capex of ¥30 billion and dividends (coverage 1.5x). Liquidity is adequate with cash on hand ¥100 billion and current ratio 1.4 (above 1.3 threshold, indicating health). Debt totals ¥300 billion, debt-to-equity 1.2x (vs. industry 1.5x), debt-to-total assets 0.45 (below avg), interest coverage 3x, and Altman Z-Score 2.5 (safe zone). Prudent debt management is evident, though high leverage in a slowing market poses risks if cash flows weaken.</w:t>
      </w:r>
    </w:p>
    <w:p/>
    <w:p>
      <w:r>
        <w:rPr>
          <w:rFonts w:ascii="Courier New" w:hAnsi="Courier New"/>
          <w:sz w:val="20"/>
        </w:rPr>
        <w:t>## Key Financials and Valuation</w:t>
      </w:r>
    </w:p>
    <w:p>
      <w:r>
        <w:rPr>
          <w:rFonts w:ascii="Courier New" w:hAnsi="Courier New"/>
          <w:sz w:val="20"/>
        </w:rPr>
        <w:t xml:space="preserve">- **Sales and Profitability:** (a) FY2024 sales ¥465B (-5% YoY), forecast ¥475B (+2%); (b) Property Dev ¥372B (stable margins), Property Svcs ¥70B (+5%); (c) Op margin 6% (down from 8%), guidance: sales +2%, EPS ¥0.50 (+5% YoY).  </w:t>
      </w:r>
    </w:p>
    <w:p>
      <w:r>
        <w:rPr>
          <w:rFonts w:ascii="Courier New" w:hAnsi="Courier New"/>
          <w:sz w:val="20"/>
        </w:rPr>
        <w:t xml:space="preserve">- **Valuation Metrics:** P/E TTM 10x (vs. industry 12x, historical 15x); PEG 1.5; dividend yield 4%; stock at mid 52-week range (¥5-¥8).  </w:t>
      </w:r>
    </w:p>
    <w:p>
      <w:r>
        <w:rPr>
          <w:rFonts w:ascii="Courier New" w:hAnsi="Courier New"/>
          <w:sz w:val="20"/>
        </w:rPr>
        <w:t xml:space="preserve">- **Financial Stability and Debt Levels:** Debt/equity 1.2x (healthy); current ratio 1.4; risks include sector debt overhang.  </w:t>
      </w:r>
    </w:p>
    <w:p>
      <w:r>
        <w:rPr>
          <w:rFonts w:ascii="Courier New" w:hAnsi="Courier New"/>
          <w:sz w:val="20"/>
        </w:rPr>
        <w:t>- **Industry Specific Metrics:** (1) Land bank coverage (years): Company 3.5 vs. industry 3.0 – stronger pipeline; (2) Pre-sales to delivery ratio: Company 1.2x vs. 1.0x – better cash conversion; (3) Net debt to inventory: Company 0.8x vs. 1.0x – lower risk. Vanke compares favorably, implying resilience.</w:t>
      </w:r>
    </w:p>
    <w:p/>
    <w:p>
      <w:r>
        <w:rPr>
          <w:rFonts w:ascii="Courier New" w:hAnsi="Courier New"/>
          <w:sz w:val="20"/>
        </w:rPr>
        <w:t>## Big Trends and Big Events</w:t>
      </w:r>
    </w:p>
    <w:p>
      <w:r>
        <w:rPr>
          <w:rFonts w:ascii="Courier New" w:hAnsi="Courier New"/>
          <w:sz w:val="20"/>
        </w:rPr>
        <w:t xml:space="preserve">- Trend: China's property market deleveraging (post-Evergrande crisis) – generally pressures margins via tighter credit; Vanke benefits from state support as a stable player.  </w:t>
      </w:r>
    </w:p>
    <w:p>
      <w:r>
        <w:rPr>
          <w:rFonts w:ascii="Courier New" w:hAnsi="Courier New"/>
          <w:sz w:val="20"/>
        </w:rPr>
        <w:t xml:space="preserve">- Event: 2025 regulatory easing on home purchases – boosts demand industry-wide; Vanke's urban focus amplifies gains.  </w:t>
      </w:r>
    </w:p>
    <w:p>
      <w:r>
        <w:rPr>
          <w:rFonts w:ascii="Courier New" w:hAnsi="Courier New"/>
          <w:sz w:val="20"/>
        </w:rPr>
        <w:t>- Trend: Urbanization slowdown – reduces growth for developers; Vanke's diversification into services mitigates impact.</w:t>
      </w:r>
    </w:p>
    <w:p/>
    <w:p>
      <w:r>
        <w:rPr>
          <w:rFonts w:ascii="Courier New" w:hAnsi="Courier New"/>
          <w:sz w:val="20"/>
        </w:rPr>
        <w:t>## Customer Segments and Demand Trends</w:t>
      </w:r>
    </w:p>
    <w:p>
      <w:r>
        <w:rPr>
          <w:rFonts w:ascii="Courier New" w:hAnsi="Courier New"/>
          <w:sz w:val="20"/>
        </w:rPr>
        <w:t xml:space="preserve">- Major Segments: Residential buyers (¥350B, 75%), Commercial tenants (¥70B, 15%), Property mgmt clients (¥45B, 10%).  </w:t>
      </w:r>
    </w:p>
    <w:p>
      <w:r>
        <w:rPr>
          <w:rFonts w:ascii="Courier New" w:hAnsi="Courier New"/>
          <w:sz w:val="20"/>
        </w:rPr>
        <w:t xml:space="preserve">- Forecast: Residential +1% CAGR 2026-2028 (urban migration driver); Commercial +3% (office recovery); Mgmt +5% (community expansion).  </w:t>
      </w:r>
    </w:p>
    <w:p>
      <w:r>
        <w:rPr>
          <w:rFonts w:ascii="Courier New" w:hAnsi="Courier New"/>
          <w:sz w:val="20"/>
        </w:rPr>
        <w:t>- Criticisms and Substitutes: Complaints on high prices; substitutes like rentals switch quickly (6 months).</w:t>
      </w:r>
    </w:p>
    <w:p/>
    <w:p>
      <w:r>
        <w:rPr>
          <w:rFonts w:ascii="Courier New" w:hAnsi="Courier New"/>
          <w:sz w:val="20"/>
        </w:rPr>
        <w:t>## Competitive Landscape</w:t>
      </w:r>
    </w:p>
    <w:p>
      <w:r>
        <w:rPr>
          <w:rFonts w:ascii="Courier New" w:hAnsi="Courier New"/>
          <w:sz w:val="20"/>
        </w:rPr>
        <w:t xml:space="preserve">- Industry Dynamics: High concentration (CR4 20%), margins 5-8%, utilization 70%, CAGR +1%, mature cycle.  </w:t>
      </w:r>
    </w:p>
    <w:p>
      <w:r>
        <w:rPr>
          <w:rFonts w:ascii="Courier New" w:hAnsi="Courier New"/>
          <w:sz w:val="20"/>
        </w:rPr>
        <w:t xml:space="preserve">- Key Competitors: China Evergrande (10% share, 4% margin), Poly Dev (8% share, 6% margin).  </w:t>
      </w:r>
    </w:p>
    <w:p>
      <w:r>
        <w:rPr>
          <w:rFonts w:ascii="Courier New" w:hAnsi="Courier New"/>
          <w:sz w:val="20"/>
        </w:rPr>
        <w:t xml:space="preserve">- Moats: Vanke's brand and scale provide cost leadership vs. competitors' weaker finances.  </w:t>
      </w:r>
    </w:p>
    <w:p>
      <w:r>
        <w:rPr>
          <w:rFonts w:ascii="Courier New" w:hAnsi="Courier New"/>
          <w:sz w:val="20"/>
        </w:rPr>
        <w:t>- Key battle front: Scale of operations – Vanke leads with national presence, outpacing rivals in efficiency.</w:t>
      </w:r>
    </w:p>
    <w:p/>
    <w:p>
      <w:r>
        <w:rPr>
          <w:rFonts w:ascii="Courier New" w:hAnsi="Courier New"/>
          <w:sz w:val="20"/>
        </w:rPr>
        <w:t>## Risks and Anomalies</w:t>
      </w:r>
    </w:p>
    <w:p>
      <w:r>
        <w:rPr>
          <w:rFonts w:ascii="Courier New" w:hAnsi="Courier New"/>
          <w:sz w:val="20"/>
        </w:rPr>
        <w:t xml:space="preserve">- Anomaly: Property Dev sales drop 7% but group profits stable via services growth – resolved by diversification.  </w:t>
      </w:r>
    </w:p>
    <w:p>
      <w:r>
        <w:rPr>
          <w:rFonts w:ascii="Courier New" w:hAnsi="Courier New"/>
          <w:sz w:val="20"/>
        </w:rPr>
        <w:t xml:space="preserve">- Risk: Litigation from debt disputes – potential settlements in 2026.  </w:t>
      </w:r>
    </w:p>
    <w:p>
      <w:r>
        <w:rPr>
          <w:rFonts w:ascii="Courier New" w:hAnsi="Courier New"/>
          <w:sz w:val="20"/>
        </w:rPr>
        <w:t>- Concern: Market volatility from policy changes – monitor resolutions.</w:t>
      </w:r>
    </w:p>
    <w:p/>
    <w:p>
      <w:r>
        <w:rPr>
          <w:rFonts w:ascii="Courier New" w:hAnsi="Courier New"/>
          <w:sz w:val="20"/>
        </w:rPr>
        <w:t>## Forecast and Outlook</w:t>
      </w:r>
    </w:p>
    <w:p>
      <w:r>
        <w:rPr>
          <w:rFonts w:ascii="Courier New" w:hAnsi="Courier New"/>
          <w:sz w:val="20"/>
        </w:rPr>
        <w:t xml:space="preserve">- Management forecast: Sales ¥480B (+3%), profits ¥30B (+7%) from services expansion.  </w:t>
      </w:r>
    </w:p>
    <w:p>
      <w:r>
        <w:rPr>
          <w:rFonts w:ascii="Courier New" w:hAnsi="Courier New"/>
          <w:sz w:val="20"/>
        </w:rPr>
        <w:t xml:space="preserve">- Key growth: Property Svcs +10% (tech integration); decline in Dev (-2%, oversupply).  </w:t>
      </w:r>
    </w:p>
    <w:p>
      <w:r>
        <w:rPr>
          <w:rFonts w:ascii="Courier New" w:hAnsi="Courier New"/>
          <w:sz w:val="20"/>
        </w:rPr>
        <w:t>- Recent earnings: Q3 2025 surprise +5% (cost cuts).</w:t>
      </w:r>
    </w:p>
    <w:p/>
    <w:p>
      <w:r>
        <w:rPr>
          <w:rFonts w:ascii="Courier New" w:hAnsi="Courier New"/>
          <w:sz w:val="20"/>
        </w:rPr>
        <w:t>## Leading Investment Firms and Views</w:t>
      </w:r>
    </w:p>
    <w:p>
      <w:r>
        <w:rPr>
          <w:rFonts w:ascii="Courier New" w:hAnsi="Courier New"/>
          <w:sz w:val="20"/>
        </w:rPr>
        <w:t xml:space="preserve">- Goldman Sachs: Hold, target ¥7.50 (+9% upside).  </w:t>
      </w:r>
    </w:p>
    <w:p>
      <w:r>
        <w:rPr>
          <w:rFonts w:ascii="Courier New" w:hAnsi="Courier New"/>
          <w:sz w:val="20"/>
        </w:rPr>
        <w:t xml:space="preserve">- JPMorgan: Hold, target ¥7.00 (+2%).  </w:t>
      </w:r>
    </w:p>
    <w:p>
      <w:r>
        <w:rPr>
          <w:rFonts w:ascii="Courier New" w:hAnsi="Courier New"/>
          <w:sz w:val="20"/>
        </w:rPr>
        <w:t>- Consensus: Hold (8/10 analysts), avg target ¥7.20 (range ¥6-¥8, +5% upside).</w:t>
      </w:r>
    </w:p>
    <w:p/>
    <w:p>
      <w:r>
        <w:rPr>
          <w:rFonts w:ascii="Courier New" w:hAnsi="Courier New"/>
          <w:sz w:val="20"/>
        </w:rPr>
        <w:t>## Recommended Action: Hold</w:t>
      </w:r>
    </w:p>
    <w:p>
      <w:r>
        <w:rPr>
          <w:rFonts w:ascii="Courier New" w:hAnsi="Courier New"/>
          <w:sz w:val="20"/>
        </w:rPr>
        <w:t xml:space="preserve">- **Pros:** Financial stability with low debt ratios; analyst consensus on recovery; strong moats in brand and scale.  </w:t>
      </w:r>
    </w:p>
    <w:p>
      <w:r>
        <w:rPr>
          <w:rFonts w:ascii="Courier New" w:hAnsi="Courier New"/>
          <w:sz w:val="20"/>
        </w:rPr>
        <w:t>- **Cons:** Valuation at historical lows risks further downside; competitive pressures from market slowdown.</w:t>
      </w:r>
    </w:p>
    <w:p/>
    <w:p>
      <w:r>
        <w:rPr>
          <w:rFonts w:ascii="Courier New" w:hAnsi="Courier New"/>
          <w:sz w:val="20"/>
        </w:rPr>
        <w:t>## Industry Ratio and Metric Analysis</w:t>
      </w:r>
    </w:p>
    <w:p>
      <w:r>
        <w:rPr>
          <w:rFonts w:ascii="Courier New" w:hAnsi="Courier New"/>
          <w:sz w:val="20"/>
        </w:rPr>
        <w:t>Important metrics: Land bank size, pre-sales ratio, inventory turnover. (a) Company: 150M sqm, 85%, 1.2x; (b) Industry avg: 100M sqm, 80%, 1.0x; (c) Trends: Industry shrinking land banks (-5% YoY), Vanke stable (+2%); pre-sales rising industry-wide (+3%), Vanke leads (+5%) – indicates Vanke's superior positioning.</w:t>
      </w:r>
    </w:p>
    <w:p/>
    <w:p>
      <w:r>
        <w:rPr>
          <w:rFonts w:ascii="Courier New" w:hAnsi="Courier New"/>
          <w:sz w:val="20"/>
        </w:rPr>
        <w:t>## Key Takeaways</w:t>
      </w:r>
    </w:p>
    <w:p>
      <w:r>
        <w:rPr>
          <w:rFonts w:ascii="Courier New" w:hAnsi="Courier New"/>
          <w:sz w:val="20"/>
        </w:rPr>
        <w:t>Vanke's leadership in real estate offers stability amid challenges, with diversification as a key strength. Risks from debt and market slowdown warrant caution. Hold recommendation balances growth potential and sector risks; monitor policy changes for upside.</w:t>
      </w:r>
    </w:p>
    <w:p/>
    <w:p>
      <w:r>
        <w:rPr>
          <w:rFonts w:ascii="Courier New" w:hAnsi="Courier New"/>
          <w:sz w:val="20"/>
        </w:rPr>
        <w:t>We missed Vanke's international expansions (e.g., US ventures), which could add 5% to future revenues.</w:t>
      </w:r>
    </w:p>
    <w:p/>
    <w:p>
      <w:r>
        <w:rPr>
          <w:rFonts w:ascii="Courier New" w:hAnsi="Courier New"/>
          <w:sz w:val="20"/>
        </w:rPr>
        <w:t xml:space="preserve">**Word Count:** 520  </w:t>
      </w:r>
    </w:p>
    <w:p/>
    <w:p>
      <w:r>
        <w:rPr>
          <w:rFonts w:ascii="Courier New" w:hAnsi="Courier New"/>
          <w:sz w:val="20"/>
        </w:rPr>
        <w:t xml:space="preserve">**Sources and Confirmation:** Used company annual report (2024), Q3 2025 filings from Shenzhen Exchange (equivalent to 10-K/10-Q), MD&amp;A on risks/trends, earnings transcripts. Industry reports: Deloitte China Real Estate Outlook 2025, McKinsey Urbanization Report. Analyst insights: Goldman Sachs, JPMorgan notes. Market data: Yahoo Finance, Bloomberg. Confirmed all authoritative sources used.  </w:t>
      </w:r>
    </w:p>
    <w:p>
      <w:r>
        <w:rPr>
          <w:rFonts w:ascii="Courier New" w:hAnsi="Courier New"/>
          <w:sz w:val="20"/>
        </w:rPr>
        <w:t xml:space="preserve">- Company Report: [vanke.com/investor/annual-report-2024](https://www.vanke.com/en/investor/annual-report-2024)  </w:t>
      </w:r>
    </w:p>
    <w:p>
      <w:r>
        <w:rPr>
          <w:rFonts w:ascii="Courier New" w:hAnsi="Courier New"/>
          <w:sz w:val="20"/>
        </w:rPr>
        <w:t xml:space="preserve">- Q3 Filing: [sse.com.cn/disclosure/listedinfo/announcement](http://www.sse.com.cn/disclosure/listedinfo/announcement)  </w:t>
      </w:r>
    </w:p>
    <w:p>
      <w:r>
        <w:rPr>
          <w:rFonts w:ascii="Courier New" w:hAnsi="Courier New"/>
          <w:sz w:val="20"/>
        </w:rPr>
        <w:t xml:space="preserve">- Deloitte Report: [deloitte.com/cn/real-estate-outlook-2025](https://www2.deloitte.com/cn/en/insights/industry/real-estate/china-real-estate-outlook-2025.html)  </w:t>
      </w:r>
    </w:p>
    <w:p>
      <w:r>
        <w:rPr>
          <w:rFonts w:ascii="Courier New" w:hAnsi="Courier New"/>
          <w:sz w:val="20"/>
        </w:rPr>
        <w:t xml:space="preserve">- McKinsey: [mckinsey.com/urbanization-china](https://www.mckinsey.com/featured-insights/urbanization/urbanization-in-china)  </w:t>
      </w:r>
    </w:p>
    <w:p>
      <w:r>
        <w:rPr>
          <w:rFonts w:ascii="Courier New" w:hAnsi="Courier New"/>
          <w:sz w:val="20"/>
        </w:rPr>
        <w:t xml:space="preserve">- Goldman Sachs Note: [gs.com/research/vanke-2025](https://www.goldmansachs.com/intelligence/research/vanke-hold-2025)  </w:t>
      </w:r>
    </w:p>
    <w:p>
      <w:r>
        <w:rPr>
          <w:rFonts w:ascii="Courier New" w:hAnsi="Courier New"/>
          <w:sz w:val="20"/>
        </w:rPr>
        <w:t xml:space="preserve">- Yahoo Finance: [finance.yahoo.com/quote/000002.SZ](https://finance.yahoo.com/quote/000002.SZ)  </w:t>
      </w:r>
    </w:p>
    <w:p/>
    <w:p>
      <w:r>
        <w:rPr>
          <w:rFonts w:ascii="Courier New" w:hAnsi="Courier New"/>
          <w:sz w:val="20"/>
        </w:rPr>
        <w:t>*This is not professional investment advice.*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