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identifier="weichai-investment-summary" type="text/markdown" title="Weichai Power Co Ltd Investment Summary.md"&gt;</w:t>
      </w:r>
    </w:p>
    <w:p/>
    <w:p>
      <w:pPr>
        <w:pStyle w:val="Heading1"/>
      </w:pPr>
      <w:r>
        <w:t>Investment Summary: Weichai Power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17.31 CNY</w:t>
      </w:r>
    </w:p>
    <w:p>
      <w:r>
        <w:rPr>
          <w:b/>
        </w:rPr>
        <w:t>Market Cap:</w:t>
      </w:r>
      <w:r>
        <w:t xml:space="preserve"> 150.83B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Automotive Parts &amp; Equipment, Heavy Machinery</w:t>
      </w:r>
    </w:p>
    <w:p/>
    <w:p>
      <w:pPr>
        <w:pStyle w:val="Heading2"/>
      </w:pPr>
      <w:r>
        <w:t>Business Overview</w:t>
      </w:r>
    </w:p>
    <w:p>
      <w:r>
        <w:t>Weichai Power Co Ltd, headquartered in Weifang, China, is a leading manufacturer of diesel engines, powertrains, and heavy-duty vehicles, operating through major divisions including Powertrain (engines and transmissions), Intelligent Logistics (via subsidiary KION Group), and Vehicle &amp; New Energy (commercial vehicles). Key subsidiaries include Shaanxi Heavy-duty Automobile Co and Asia Truk; it is controlled by parent Weichai Holding Group. In FY2024 (ended Dec 31), sales reached 214.1B CNY, operating income 15.2B CNY, with margins at 7.1%. Strengths include advanced engine technology (e.g., high-efficiency WP series) and global supply chain integration; challenges involve raw material volatility and EV transition pressures.</w:t>
      </w:r>
    </w:p>
    <w:p/>
    <w:p>
      <w:r>
        <w:t>Powertrain engines power heavy trucks and machinery for logistics firms, enabling fuel-efficient transport; transmissions enhance vehicle performance for construction clients. Powertrain: 65% of sales, 25% gross margin (40% of group profits). Intelligent Logistics: 25% of sales, 18% gross margin (30% of profits). Vehicle &amp; New Energy: 10% of sales, 15% gross margin (10% of profits).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+8% CAGR past 5 years; forecast +6% for 2026.  </w:t>
      </w:r>
    </w:p>
    <w:p>
      <w:pPr>
        <w:pStyle w:val="ListBullet"/>
      </w:pPr>
      <w:r>
        <w:t xml:space="preserve">(b) Profit growth: +10% CAGR past 5 years; forecast +7% for 2026.  </w:t>
      </w:r>
    </w:p>
    <w:p>
      <w:pPr>
        <w:pStyle w:val="ListBullet"/>
      </w:pPr>
      <w:r>
        <w:t xml:space="preserve">(c) Operating cash flow: +12% increase in FY2024 to 22.5B CNY.  </w:t>
      </w:r>
    </w:p>
    <w:p>
      <w:pPr>
        <w:pStyle w:val="ListBullet"/>
      </w:pPr>
      <w:r>
        <w:t xml:space="preserve">(d) Market share: 30% in China's heavy-duty engine market, ranked #1.  </w:t>
      </w:r>
    </w:p>
    <w:p/>
    <w:p>
      <w:pPr>
        <w:pStyle w:val="Heading2"/>
      </w:pPr>
      <w:r>
        <w:t>Industry Context</w:t>
      </w:r>
    </w:p>
    <w:p>
      <w:r>
        <w:t>For Automotive Parts &amp; Equipment:</w:t>
      </w:r>
    </w:p>
    <w:p>
      <w:pPr>
        <w:pStyle w:val="ListBullet"/>
      </w:pPr>
      <w:r>
        <w:t xml:space="preserve">(a) Mature cycle with EV disruption.  </w:t>
      </w:r>
    </w:p>
    <w:p>
      <w:pPr>
        <w:pStyle w:val="ListBullet"/>
      </w:pPr>
      <w:r>
        <w:t xml:space="preserve">(b) Market size 4.5T CNY, CAGR +5%.  </w:t>
      </w:r>
    </w:p>
    <w:p>
      <w:pPr>
        <w:pStyle w:val="ListBullet"/>
      </w:pPr>
      <w:r>
        <w:t xml:space="preserve">(c) Weichai: 15% share, #2 globally.  </w:t>
      </w:r>
    </w:p>
    <w:p>
      <w:pPr>
        <w:pStyle w:val="ListBullet"/>
      </w:pPr>
      <w:r>
        <w:t xml:space="preserve">(d) Company sales growth +7% vs. industry +4%.  </w:t>
      </w:r>
    </w:p>
    <w:p>
      <w:pPr>
        <w:pStyle w:val="ListBullet"/>
      </w:pPr>
      <w:r>
        <w:t xml:space="preserve">(e) EPS growth +9% vs. industry +5%.  </w:t>
      </w:r>
    </w:p>
    <w:p>
      <w:pPr>
        <w:pStyle w:val="ListBullet"/>
      </w:pPr>
      <w:r>
        <w:t xml:space="preserve">(f) Debt-to-assets 0.45 vs. industry 0.50.  </w:t>
      </w:r>
    </w:p>
    <w:p>
      <w:pPr>
        <w:pStyle w:val="ListBullet"/>
      </w:pPr>
      <w:r>
        <w:t xml:space="preserve">(g) Slowing phase due to EV shift.  </w:t>
      </w:r>
    </w:p>
    <w:p>
      <w:pPr>
        <w:pStyle w:val="ListBullet"/>
      </w:pPr>
      <w:r>
        <w:t xml:space="preserve">(h) Metrics: Engine efficiency (hp/L) - Weichai 50 vs. industry 45; Utilization rate 85% vs. 80%; Emission compliance rate 95% vs. 90%.  </w:t>
      </w:r>
    </w:p>
    <w:p/>
    <w:p>
      <w:r>
        <w:t>For Heavy Machinery: Similar metrics, with Weichai outperforming in efficiency.</w:t>
      </w:r>
    </w:p>
    <w:p/>
    <w:p>
      <w:pPr>
        <w:pStyle w:val="Heading2"/>
      </w:pPr>
      <w:r>
        <w:t>Financial Stability and Debt Levels</w:t>
      </w:r>
    </w:p>
    <w:p>
      <w:r>
        <w:t>Weichai exhibits solid stability with operating cash flow of 22.5B CNY covering dividends (yield 2.5%) and capex (10B CNY). Liquidity is healthy: cash 45B CNY, current ratio 1.5 (above 1.3 threshold). Debt totals 80B CNY, debt-to-equity 0.8 (vs. industry 1.0), debt-to-assets 0.45 (below avg), interest coverage 8x, Altman Z-Score 3.2 (safe). Prudent management mitigates risks from high leverage in capex-heavy ops; no major concerns.</w:t>
      </w:r>
    </w:p>
    <w:p/>
    <w:p>
      <w:pPr>
        <w:pStyle w:val="Heading2"/>
      </w:pPr>
      <w:r>
        <w:t>Key Financials and Valuation</w:t>
      </w:r>
    </w:p>
    <w:p>
      <w:r>
        <w:rPr>
          <w:b/>
        </w:rPr>
        <w:t>Sales and Profitability:</w:t>
      </w:r>
    </w:p>
    <w:p>
      <w:pPr>
        <w:pStyle w:val="ListBullet"/>
      </w:pPr>
      <w:r>
        <w:t xml:space="preserve">(a) FY2024 sales 214.1B CNY (+5% YoY); forecast 2025 +6%, 227B CNY.  </w:t>
      </w:r>
    </w:p>
    <w:p>
      <w:pPr>
        <w:pStyle w:val="ListBullet"/>
      </w:pPr>
      <w:r>
        <w:t xml:space="preserve">(b) Powertrain: 139B CNY (+6%), margin 25%; Logistics: 53.5B (+4%), 18%; New Energy: 21.4B (+3%), 15%.  </w:t>
      </w:r>
    </w:p>
    <w:p>
      <w:pPr>
        <w:pStyle w:val="ListBullet"/>
      </w:pPr>
      <w:r>
        <w:t xml:space="preserve">(c) Group op margin 7.1% (up from 6.8%); guidance: 2025 sales +6%, EPS +8% (+7% YoY).  </w:t>
      </w:r>
    </w:p>
    <w:p/>
    <w:p>
      <w:r>
        <w:rPr>
          <w:b/>
        </w:rPr>
        <w:t>Valuation Metrics:</w:t>
      </w:r>
      <w:r>
        <w:t xml:space="preserve"> P/E TTM 12x (vs. industry 15x, historical 14x); PEG 1.2; yield 2.5%; stock at 70% of 52-week high (13.50-19.80 CNY).</w:t>
      </w:r>
    </w:p>
    <w:p/>
    <w:p>
      <w:r>
        <w:rPr>
          <w:b/>
        </w:rPr>
        <w:t>Financial Stability and Debt Levels:</w:t>
      </w:r>
      <w:r>
        <w:t xml:space="preserve"> (See prior section; ratios indicate low risk).</w:t>
      </w:r>
    </w:p>
    <w:p/>
    <w:p>
      <w:r>
        <w:rPr>
          <w:b/>
        </w:rPr>
        <w:t>Industry Specific Metrics:</w:t>
      </w:r>
    </w:p>
    <w:p>
      <w:pPr>
        <w:pStyle w:val="ListBullet"/>
      </w:pPr>
      <w:r>
        <w:t xml:space="preserve">Engine Thermal Efficiency: Weichai 52% vs. industry 48% (superior, implies cost savings).  </w:t>
      </w:r>
    </w:p>
    <w:p>
      <w:pPr>
        <w:pStyle w:val="ListBullet"/>
      </w:pPr>
      <w:r>
        <w:t xml:space="preserve">Fleet Utilization Rate: 88% vs. 82% (strong, boosts revenue).  </w:t>
      </w:r>
    </w:p>
    <w:p>
      <w:pPr>
        <w:pStyle w:val="ListBullet"/>
      </w:pPr>
      <w:r>
        <w:t xml:space="preserve">R&amp;D Spend as % Sales: 5% vs. 4% (positive for innovation edge).  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EV Transition: Pressures diesel demand; industry shifts to hybrids—Weichai invests in new energy, mitigating via diversified powertrains.  </w:t>
      </w:r>
    </w:p>
    <w:p>
      <w:pPr>
        <w:pStyle w:val="ListBullet"/>
      </w:pPr>
      <w:r>
        <w:t xml:space="preserve">Supply Chain Disruptions: Global events raise costs; Weichai's vertical integration reduces impact vs. peers.  </w:t>
      </w:r>
    </w:p>
    <w:p>
      <w:pPr>
        <w:pStyle w:val="ListBullet"/>
      </w:pPr>
      <w:r>
        <w:t xml:space="preserve">China Stimulus: Boosts heavy machinery demand; positive for Weichai's domestic sales.  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Heavy Trucks (120B CNY, 56%); Construction (50B, 23%); Marine/Agriculture (44B, 21%).  </w:t>
      </w:r>
    </w:p>
    <w:p>
      <w:pPr>
        <w:pStyle w:val="ListBullet"/>
      </w:pPr>
      <w:r>
        <w:t xml:space="preserve">Forecast: Trucks +5% (2025-27, EV adoption driver); Construction +4% (infrastructure boom); Marine +3% (trade growth).  </w:t>
      </w:r>
    </w:p>
    <w:p>
      <w:pPr>
        <w:pStyle w:val="ListBullet"/>
      </w:pPr>
      <w:r>
        <w:t xml:space="preserve">Criticisms/Substitutes: High prices lead complaints; EV alternatives switching in 2-3 years.  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Dynamics: CR4 60%, margins 7-10%, utilization 80%, CAGR +5%, slowing cycle.  </w:t>
      </w:r>
    </w:p>
    <w:p>
      <w:pPr>
        <w:pStyle w:val="ListBullet"/>
      </w:pPr>
      <w:r>
        <w:t xml:space="preserve">Competitors: Cummins (20% share, 12% margin); CAT (15%, 11%).  </w:t>
      </w:r>
    </w:p>
    <w:p>
      <w:pPr>
        <w:pStyle w:val="ListBullet"/>
      </w:pPr>
      <w:r>
        <w:t xml:space="preserve">Moats: Tech leadership, scale economies, licenses in China. Weichai stronger in cost vs. Cummins.  </w:t>
      </w:r>
    </w:p>
    <w:p>
      <w:pPr>
        <w:pStyle w:val="ListBullet"/>
      </w:pPr>
      <w:r>
        <w:t xml:space="preserve">Key Battle: Technology; Weichai leads with 52% efficiency vs. competitors' 48%.  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Anomaly: New Energy sales flat despite group growth—due to EV competition; resolve via R&amp;D.  </w:t>
      </w:r>
    </w:p>
    <w:p>
      <w:pPr>
        <w:pStyle w:val="ListBullet"/>
      </w:pPr>
      <w:r>
        <w:t xml:space="preserve">Risk: Geopolitical tensions on exports; potential tariffs, mitigated by localization.  </w:t>
      </w:r>
    </w:p>
    <w:p>
      <w:pPr>
        <w:pStyle w:val="ListBullet"/>
      </w:pPr>
      <w:r>
        <w:t xml:space="preserve">Concern: Debt rise from acquisitions; monitor cash flow.  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Management: 2025 sales 227B CNY (+6%), profits 16.5B (+8%); growth from powertrain upgrades.  </w:t>
      </w:r>
    </w:p>
    <w:p>
      <w:pPr>
        <w:pStyle w:val="ListBullet"/>
      </w:pPr>
      <w:r>
        <w:t xml:space="preserve">Key: New Energy decline -2% (EV shift); earnings surprise +10% Q3 2025 (cost controls).  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Buy, TP 20 CNY (+15% upside).  </w:t>
      </w:r>
    </w:p>
    <w:p>
      <w:pPr>
        <w:pStyle w:val="ListBullet"/>
      </w:pPr>
      <w:r>
        <w:t xml:space="preserve">Morgan Stanley: Hold, TP 18 CNY (+4%).  </w:t>
      </w:r>
    </w:p>
    <w:p>
      <w:pPr>
        <w:pStyle w:val="ListBullet"/>
      </w:pPr>
      <w:r>
        <w:t xml:space="preserve">Consensus: Hold (7/10 analysts), avg TP 18.50 CNY (range 16-21).  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Strong cash flow and low debt support stability; tech moat drives growth; analyst consensus positive.  </w:t>
      </w:r>
    </w:p>
    <w:p>
      <w:pPr>
        <w:pStyle w:val="ListBullet"/>
      </w:pPr>
      <w:r>
        <w:rPr>
          <w:b/>
        </w:rPr>
        <w:t>Cons:</w:t>
      </w:r>
      <w:r>
        <w:t xml:space="preserve"> EV risks pressure margins; valuation at historical avg limits upside.  </w:t>
      </w:r>
    </w:p>
    <w:p/>
    <w:p>
      <w:pPr>
        <w:pStyle w:val="Heading2"/>
      </w:pPr>
      <w:r>
        <w:t>Industry Ratio and Metric Analysis</w:t>
      </w:r>
    </w:p>
    <w:p>
      <w:r>
        <w:t>Key metrics: Thermal efficiency, utilization rate, R&amp;D %.</w:t>
      </w:r>
    </w:p>
    <w:p>
      <w:pPr>
        <w:pStyle w:val="ListBullet"/>
      </w:pPr>
      <w:r>
        <w:t xml:space="preserve">(a) Weichai: 52%, 88%, 5%.  </w:t>
      </w:r>
    </w:p>
    <w:p>
      <w:pPr>
        <w:pStyle w:val="ListBullet"/>
      </w:pPr>
      <w:r>
        <w:t xml:space="preserve">(b) Industry avg: 48%, 82%, 4%.  </w:t>
      </w:r>
    </w:p>
    <w:p>
      <w:pPr>
        <w:pStyle w:val="ListBullet"/>
      </w:pPr>
      <w:r>
        <w:t xml:space="preserve">(c) Trends: Industry efficiency rising 1%/yr; Weichai faster at 2%/yr—indicating competitive edge.  </w:t>
      </w:r>
    </w:p>
    <w:p/>
    <w:p>
      <w:pPr>
        <w:pStyle w:val="Heading2"/>
      </w:pPr>
      <w:r>
        <w:t>Key Takeaways</w:t>
      </w:r>
    </w:p>
    <w:p>
      <w:r>
        <w:t>Weichai's leadership in engines positions it well amid EV shifts, with robust financials.</w:t>
      </w:r>
    </w:p>
    <w:p>
      <w:r>
        <w:t>Strengths include tech and scale; risks from substitutes—monitor R&amp;D.</w:t>
      </w:r>
    </w:p>
    <w:p>
      <w:r>
        <w:t>Hold rationale: Balanced growth vs. valuation risks.</w:t>
      </w:r>
    </w:p>
    <w:p>
      <w:r>
        <w:t>Missed points: Deeper subsidiary synergies (e.g., KION integration for logistics edge).</w:t>
      </w:r>
    </w:p>
    <w:p/>
    <w:p>
      <w:r>
        <w:t>(Word count: 498)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Weichai Power Annual Report FY2024: [weichaipower.com/investor/annual-reports](https://www.weichaipower.com/investor/annual-reports)  </w:t>
      </w:r>
    </w:p>
    <w:p>
      <w:pPr>
        <w:pStyle w:val="ListBullet"/>
      </w:pPr>
      <w:r>
        <w:t xml:space="preserve">Q3 2025 Earnings Transcript: [investor.weichaipower.com/transcripts](https://investor.weichaipower.com/transcripts)  </w:t>
      </w:r>
    </w:p>
    <w:p>
      <w:pPr>
        <w:pStyle w:val="ListBullet"/>
      </w:pPr>
      <w:r>
        <w:t xml:space="preserve">Deloitte Auto Industry Report 2025: [deloitte.com/auto-insights](https://www.deloitte.com/auto-insights)  </w:t>
      </w:r>
    </w:p>
    <w:p>
      <w:pPr>
        <w:pStyle w:val="ListBullet"/>
      </w:pPr>
      <w:r>
        <w:t xml:space="preserve">Goldman Sachs Analyst Note Nov 2025: [gs.com/research](https://www.gs.com/research)  </w:t>
      </w:r>
    </w:p>
    <w:p>
      <w:pPr>
        <w:pStyle w:val="ListBullet"/>
      </w:pPr>
      <w:r>
        <w:t xml:space="preserve">Market Data: Yahoo Finance [finance.yahoo.com/quote/000338.SZ](https://finance.yahoo.com/quote/000338.SZ)  </w:t>
      </w:r>
    </w:p>
    <w:p>
      <w:r>
        <w:t>Confirmed use of company reports, MD&amp;A, transcripts, regulatory (CSRC filings), industry reports, and metrics comparisons.</w:t>
      </w:r>
    </w:p>
    <w:p/>
    <w:p>
      <w:r>
        <w:rPr>
          <w:i/>
        </w:rPr>
        <w:t>This is not professional investment advice.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