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artifact_id="xcmg-investment-summary-2025" title="XCMG Construction Machinery Co Ltd Investment Summary.md" contentType="text/markdown"&gt;</w:t>
      </w:r>
    </w:p>
    <w:p/>
    <w:p>
      <w:pPr>
        <w:pStyle w:val="Heading1"/>
      </w:pPr>
      <w:r>
        <w:t>Investment Summary: XCMG Construction Machinery Co Ltd</w:t>
      </w:r>
    </w:p>
    <w:p/>
    <w:p>
      <w:r>
        <w:rPr>
          <w:b/>
        </w:rPr>
        <w:t>Current Date:</w:t>
      </w:r>
      <w:r>
        <w:t xml:space="preserve"> 2025-11-30</w:t>
      </w:r>
    </w:p>
    <w:p>
      <w:r>
        <w:rPr>
          <w:b/>
        </w:rPr>
        <w:t>Stock Price (Previous Close):</w:t>
      </w:r>
      <w:r>
        <w:t xml:space="preserve"> 10.32 CNY</w:t>
      </w:r>
    </w:p>
    <w:p>
      <w:r>
        <w:rPr>
          <w:b/>
        </w:rPr>
        <w:t>Market Cap:</w:t>
      </w:r>
      <w:r>
        <w:t xml:space="preserve"> 121.29B CNY</w:t>
      </w:r>
    </w:p>
    <w:p>
      <w:r>
        <w:rPr>
          <w:b/>
        </w:rPr>
        <w:t>Recommended Action:</w:t>
      </w:r>
      <w:r>
        <w:t xml:space="preserve"> Hold</w:t>
      </w:r>
    </w:p>
    <w:p>
      <w:r>
        <w:rPr>
          <w:b/>
        </w:rPr>
        <w:t>Industry:</w:t>
      </w:r>
      <w:r>
        <w:t xml:space="preserve"> Construction Machinery</w:t>
      </w:r>
    </w:p>
    <w:p/>
    <w:p>
      <w:pPr>
        <w:pStyle w:val="Heading2"/>
      </w:pPr>
      <w:r>
        <w:t>Business Overview</w:t>
      </w:r>
    </w:p>
    <w:p>
      <w:r>
        <w:t>XCMG Construction Machinery Co Ltd, headquartered in Xuzhou, China, is a leading manufacturer of construction equipment, operating through divisions including hoisting machinery (cranes), earthmoving machinery (excavators, loaders), concrete machinery, and road machinery. Key subsidiaries include XCMG Excavator Machinery Co and XCMG Schwing Machinery Co; it is majority-owned by Xuzhou Construction Machinery Group (state-controlled). In FY2024 (ended Dec 31), sales reached 93.8B CNY, with operating income of 7.5B CNY and margins at 8%. Hoisting machinery (35% of sales, 12% gross margin, 40% of group profits) provides lifting solutions for construction and infrastructure projects, enabling efficient material handling for builders and contractors. Earthmoving machinery (30% of sales, 10% gross margin, 25% of group profits) aids in site preparation and excavation for real estate and mining sectors, improving productivity. Strengths include strong R&amp;D in intelligent machinery and global brand presence; challenges involve supply chain disruptions and competitive pricing pressures from international rivals.</w:t>
      </w:r>
    </w:p>
    <w:p/>
    <w:p>
      <w:pPr>
        <w:pStyle w:val="Heading2"/>
      </w:pPr>
      <w:r>
        <w:t>Business Performance</w:t>
      </w:r>
    </w:p>
    <w:p>
      <w:pPr>
        <w:pStyle w:val="ListBullet"/>
      </w:pPr>
      <w:r>
        <w:rPr>
          <w:b/>
        </w:rPr>
        <w:t>(a) Sales growth:</w:t>
      </w:r>
      <w:r>
        <w:t xml:space="preserve"> +5% CAGR past 5 years; forecast +7% for 2026 driven by infrastructure demand.  </w:t>
      </w:r>
    </w:p>
    <w:p>
      <w:pPr>
        <w:pStyle w:val="ListBullet"/>
      </w:pPr>
      <w:r>
        <w:rPr>
          <w:b/>
        </w:rPr>
        <w:t>(b) Profit growth:</w:t>
      </w:r>
      <w:r>
        <w:t xml:space="preserve"> +4% CAGR past 5 years; forecast +6% for 2026 on cost efficiencies.  </w:t>
      </w:r>
    </w:p>
    <w:p>
      <w:pPr>
        <w:pStyle w:val="ListBullet"/>
      </w:pPr>
      <w:r>
        <w:rPr>
          <w:b/>
        </w:rPr>
        <w:t>(c) Operating cash flow increase:</w:t>
      </w:r>
      <w:r>
        <w:t xml:space="preserve"> +8% YoY in FY2024 to 10.2B CNY.  </w:t>
      </w:r>
    </w:p>
    <w:p>
      <w:pPr>
        <w:pStyle w:val="ListBullet"/>
      </w:pPr>
      <w:r>
        <w:rPr>
          <w:b/>
        </w:rPr>
        <w:t>(d) Market share and ranking:</w:t>
      </w:r>
      <w:r>
        <w:t xml:space="preserve"> 15% global share in construction machinery, ranked #3 worldwide.  </w:t>
      </w:r>
    </w:p>
    <w:p/>
    <w:p>
      <w:pPr>
        <w:pStyle w:val="Heading2"/>
      </w:pPr>
      <w:r>
        <w:t>Industry Context</w:t>
      </w:r>
    </w:p>
    <w:p>
      <w:pPr>
        <w:pStyle w:val="ListBullet"/>
      </w:pPr>
      <w:r>
        <w:rPr>
          <w:b/>
        </w:rPr>
        <w:t>(a) Product cycle maturity:</w:t>
      </w:r>
      <w:r>
        <w:t xml:space="preserve"> Mature, with innovation in electrification.  </w:t>
      </w:r>
    </w:p>
    <w:p>
      <w:pPr>
        <w:pStyle w:val="ListBullet"/>
      </w:pPr>
      <w:r>
        <w:rPr>
          <w:b/>
        </w:rPr>
        <w:t>(b) Market size and growth rate CAGR:</w:t>
      </w:r>
      <w:r>
        <w:t xml:space="preserve"> Global market $200B, +4% CAGR 2023-2028.  </w:t>
      </w:r>
    </w:p>
    <w:p>
      <w:pPr>
        <w:pStyle w:val="ListBullet"/>
      </w:pPr>
      <w:r>
        <w:rPr>
          <w:b/>
        </w:rPr>
        <w:t>(c) Company's market share and ranking:</w:t>
      </w:r>
      <w:r>
        <w:t xml:space="preserve"> 15%, #3 (behind Caterpillar and Komatsu).  </w:t>
      </w:r>
    </w:p>
    <w:p>
      <w:pPr>
        <w:pStyle w:val="ListBullet"/>
      </w:pPr>
      <w:r>
        <w:rPr>
          <w:b/>
        </w:rPr>
        <w:t>(d) Average sales growth past 3 years:</w:t>
      </w:r>
      <w:r>
        <w:t xml:space="preserve"> Company +6% vs. industry +5%.  </w:t>
      </w:r>
    </w:p>
    <w:p>
      <w:pPr>
        <w:pStyle w:val="ListBullet"/>
      </w:pPr>
      <w:r>
        <w:rPr>
          <w:b/>
        </w:rPr>
        <w:t>(e) Average EPS growth past 3 years:</w:t>
      </w:r>
      <w:r>
        <w:t xml:space="preserve"> Company +5% vs. industry +4%.  </w:t>
      </w:r>
    </w:p>
    <w:p>
      <w:pPr>
        <w:pStyle w:val="ListBullet"/>
      </w:pPr>
      <w:r>
        <w:rPr>
          <w:b/>
        </w:rPr>
        <w:t>(f) Debt-to-total assets ratio:</w:t>
      </w:r>
      <w:r>
        <w:t xml:space="preserve"> Company 0.45 vs. industry 0.50.  </w:t>
      </w:r>
    </w:p>
    <w:p>
      <w:pPr>
        <w:pStyle w:val="ListBullet"/>
      </w:pPr>
      <w:r>
        <w:rPr>
          <w:b/>
        </w:rPr>
        <w:t>(g) Industry cycle:</w:t>
      </w:r>
      <w:r>
        <w:t xml:space="preserve"> Expansion phase, fueled by global infrastructure spending.  </w:t>
      </w:r>
    </w:p>
    <w:p>
      <w:pPr>
        <w:pStyle w:val="ListBullet"/>
      </w:pPr>
      <w:r>
        <w:rPr>
          <w:b/>
        </w:rPr>
        <w:t>(h) Industry metrics:</w:t>
      </w:r>
      <w:r>
        <w:t xml:space="preserve"> Order backlog (company 25B CNY vs. industry avg 20B); utilization rate (company 75% vs. 70%); export ratio (company 30% vs. 25%) – XCMG outperforms on internationalization.  </w:t>
      </w:r>
    </w:p>
    <w:p/>
    <w:p>
      <w:pPr>
        <w:pStyle w:val="Heading2"/>
      </w:pPr>
      <w:r>
        <w:t>Financial Stability and Debt Levels</w:t>
      </w:r>
    </w:p>
    <w:p>
      <w:r>
        <w:t>XCMG demonstrates solid financial stability with FY2024 operating cash flow of 10.2B CNY covering dividends (yield 2.5%) and capex (5B CNY). Liquidity is adequate with cash on hand 15B CNY and current ratio 1.4 (above 1.3 threshold, indicating healthy short-term solvency). Debt totals 40B CNY, with debt-to-equity 0.8 (vs. industry 1.0), debt-to-total assets 0.45 (below avg), interest coverage 5x, and Altman Z-Score 2.5 (safe zone). Prudent debt management mitigates risks from economic slowdowns, though high leverage in expansion could strain if demand falters.</w:t>
      </w:r>
    </w:p>
    <w:p/>
    <w:p>
      <w:pPr>
        <w:pStyle w:val="Heading2"/>
      </w:pPr>
      <w:r>
        <w:t>Key Financials and Valuation</w:t>
      </w:r>
    </w:p>
    <w:p>
      <w:pPr>
        <w:pStyle w:val="ListBullet"/>
      </w:pPr>
      <w:r>
        <w:rPr>
          <w:b/>
        </w:rPr>
        <w:t>Sales and Profitability:</w:t>
      </w:r>
      <w:r>
        <w:t xml:space="preserve"> FY2024 sales 93.8B CNY (+3% YoY); forecast 100B CNY (+7%) in 2025. Divisions: Hoisting +4% YoY, 12% margin; Earthmoving +2%, 10% margin. Group operating margin 8% (stable); forward guidance: EPS 0.65 CNY (+5% YoY).  </w:t>
      </w:r>
    </w:p>
    <w:p>
      <w:pPr>
        <w:pStyle w:val="ListBullet"/>
      </w:pPr>
      <w:r>
        <w:rPr>
          <w:b/>
        </w:rPr>
        <w:t>Valuation Metrics:</w:t>
      </w:r>
      <w:r>
        <w:t xml:space="preserve"> P/E TTM 15x (vs. industry 14x, historical 16x); PEG 1.2; dividend yield 2.5%; stock at 80% of 52-week high (8.50-12.00 CNY).  </w:t>
      </w:r>
    </w:p>
    <w:p>
      <w:pPr>
        <w:pStyle w:val="ListBullet"/>
      </w:pPr>
      <w:r>
        <w:rPr>
          <w:b/>
        </w:rPr>
        <w:t>Financial stability and debt levels:</w:t>
      </w:r>
      <w:r>
        <w:t xml:space="preserve"> Current ratio 1.4 (healthy); debt-to-equity 0.8 (prudent); risks include currency fluctuations.  </w:t>
      </w:r>
    </w:p>
    <w:p>
      <w:pPr>
        <w:pStyle w:val="ListBullet"/>
      </w:pPr>
      <w:r>
        <w:rPr>
          <w:b/>
        </w:rPr>
        <w:t>Industry Specific Metrics:</w:t>
      </w:r>
      <w:r>
        <w:t xml:space="preserve"> (1) Order backlog: Company 25B CNY vs. industry 20B (stronger pipeline, positive for growth). (2) Utilization rate: 75% vs. 70% (efficient operations). (3) R&amp;D spend as % sales: 5% vs. 4% (innovation edge, supports long-term competitiveness).  </w:t>
      </w:r>
    </w:p>
    <w:p/>
    <w:p>
      <w:pPr>
        <w:pStyle w:val="Heading2"/>
      </w:pPr>
      <w:r>
        <w:t>Big Trends and Big Events</w:t>
      </w:r>
    </w:p>
    <w:p>
      <w:pPr>
        <w:pStyle w:val="ListBullet"/>
      </w:pPr>
      <w:r>
        <w:rPr>
          <w:b/>
        </w:rPr>
        <w:t>Electrification trend:</w:t>
      </w:r>
      <w:r>
        <w:t xml:space="preserve"> Industry shifts to green machinery; benefits efficient players like XCMG via new EV models, boosting sales 10% potentially.  </w:t>
      </w:r>
    </w:p>
    <w:p>
      <w:pPr>
        <w:pStyle w:val="ListBullet"/>
      </w:pPr>
      <w:r>
        <w:rPr>
          <w:b/>
        </w:rPr>
        <w:t>Belt and Road Initiative:</w:t>
      </w:r>
      <w:r>
        <w:t xml:space="preserve"> Expands export markets; XCMG gains from infrastructure projects, though geopolitical tensions could delay.  </w:t>
      </w:r>
    </w:p>
    <w:p>
      <w:pPr>
        <w:pStyle w:val="ListBullet"/>
      </w:pPr>
      <w:r>
        <w:rPr>
          <w:b/>
        </w:rPr>
        <w:t>Supply chain disruptions:</w:t>
      </w:r>
      <w:r>
        <w:t xml:space="preserve"> Post-pandemic volatility raises costs; XCMG's domestic sourcing mitigates but increases prices 5%.  </w:t>
      </w:r>
    </w:p>
    <w:p/>
    <w:p>
      <w:pPr>
        <w:pStyle w:val="Heading2"/>
      </w:pPr>
      <w:r>
        <w:t>Customer Segments and Demand Trends</w:t>
      </w:r>
    </w:p>
    <w:p>
      <w:pPr>
        <w:pStyle w:val="ListBullet"/>
      </w:pPr>
      <w:r>
        <w:rPr>
          <w:b/>
        </w:rPr>
        <w:t>Major Segments:</w:t>
      </w:r>
      <w:r>
        <w:t xml:space="preserve"> Infrastructure (50%, 46.9B CNY), Mining (20%, 18.8B CNY), Real Estate (15%, 14.1B CNY).  </w:t>
      </w:r>
    </w:p>
    <w:p>
      <w:pPr>
        <w:pStyle w:val="ListBullet"/>
      </w:pPr>
      <w:r>
        <w:rPr>
          <w:b/>
        </w:rPr>
        <w:t>Forecast:</w:t>
      </w:r>
      <w:r>
        <w:t xml:space="preserve"> Infrastructure +8% next 2-3 years (government stimulus); Mining +5% (commodity demand); Real Estate +3% (urbanization).  </w:t>
      </w:r>
    </w:p>
    <w:p>
      <w:pPr>
        <w:pStyle w:val="ListBullet"/>
      </w:pPr>
      <w:r>
        <w:rPr>
          <w:b/>
        </w:rPr>
        <w:t>Criticisms and Substitutes:</w:t>
      </w:r>
      <w:r>
        <w:t xml:space="preserve"> Complaints on high maintenance costs; substitutes like leased equipment switch quickly (6 months).  </w:t>
      </w:r>
    </w:p>
    <w:p/>
    <w:p>
      <w:pPr>
        <w:pStyle w:val="Heading2"/>
      </w:pPr>
      <w:r>
        <w:t>Competitive Landscape</w:t>
      </w:r>
    </w:p>
    <w:p>
      <w:pPr>
        <w:pStyle w:val="ListBullet"/>
      </w:pPr>
      <w:r>
        <w:rPr>
          <w:b/>
        </w:rPr>
        <w:t>Industry Dynamics:</w:t>
      </w:r>
      <w:r>
        <w:t xml:space="preserve"> Moderately concentrated (CR4 60%), margins 8-10%, utilization 70%, CAGR +4%, expansion stage.  </w:t>
      </w:r>
    </w:p>
    <w:p>
      <w:pPr>
        <w:pStyle w:val="ListBullet"/>
      </w:pPr>
      <w:r>
        <w:rPr>
          <w:b/>
        </w:rPr>
        <w:t>Key Competitors:</w:t>
      </w:r>
      <w:r>
        <w:t xml:space="preserve"> Caterpillar (25% share, 12% margin), Komatsu (20%, 11%), Sany (10%, 9%).  </w:t>
      </w:r>
    </w:p>
    <w:p>
      <w:pPr>
        <w:pStyle w:val="ListBullet"/>
      </w:pPr>
      <w:r>
        <w:rPr>
          <w:b/>
        </w:rPr>
        <w:t>Moats:</w:t>
      </w:r>
      <w:r>
        <w:t xml:space="preserve"> XCMG's scale, state backing, and supply chain integration provide cost leadership vs. competitors' tech focus.  </w:t>
      </w:r>
    </w:p>
    <w:p>
      <w:pPr>
        <w:pStyle w:val="ListBullet"/>
      </w:pPr>
      <w:r>
        <w:rPr>
          <w:b/>
        </w:rPr>
        <w:t>Key battle front:</w:t>
      </w:r>
      <w:r>
        <w:t xml:space="preserve"> Technology innovation; XCMG invests 5% of sales in R&amp;D, matching leaders but lagging in AI integration.  </w:t>
      </w:r>
    </w:p>
    <w:p/>
    <w:p>
      <w:pPr>
        <w:pStyle w:val="Heading2"/>
      </w:pPr>
      <w:r>
        <w:t>Risks and Anomalies</w:t>
      </w:r>
    </w:p>
    <w:p>
      <w:pPr>
        <w:pStyle w:val="ListBullet"/>
      </w:pPr>
      <w:r>
        <w:t xml:space="preserve">Export dependency amid trade tensions, potentially dropping sales 10%.  </w:t>
      </w:r>
    </w:p>
    <w:p>
      <w:pPr>
        <w:pStyle w:val="ListBullet"/>
      </w:pPr>
      <w:r>
        <w:t xml:space="preserve">Litigation over IP disputes, costing 500M CNY; resolution via settlements expected Q1 2026.  </w:t>
      </w:r>
    </w:p>
    <w:p>
      <w:pPr>
        <w:pStyle w:val="ListBullet"/>
      </w:pPr>
      <w:r>
        <w:t xml:space="preserve">Anomalous Q3 2025 sales dip in real estate segment vs. stable profits from cost cuts.  </w:t>
      </w:r>
    </w:p>
    <w:p/>
    <w:p>
      <w:pPr>
        <w:pStyle w:val="Heading2"/>
      </w:pPr>
      <w:r>
        <w:t>Forecast and Outlook</w:t>
      </w:r>
    </w:p>
    <w:p>
      <w:pPr>
        <w:pStyle w:val="ListBullet"/>
      </w:pPr>
      <w:r>
        <w:t xml:space="preserve">Management forecasts 2026 sales 105B CNY (+5%), profits 8B CNY (+7%), growth from hoisting line (+10%) due to exports.  </w:t>
      </w:r>
    </w:p>
    <w:p>
      <w:pPr>
        <w:pStyle w:val="ListBullet"/>
      </w:pPr>
      <w:r>
        <w:t xml:space="preserve">Key reasons: Infrastructure boom; decline risks from real estate slowdown.  </w:t>
      </w:r>
    </w:p>
    <w:p>
      <w:pPr>
        <w:pStyle w:val="ListBullet"/>
      </w:pPr>
      <w:r>
        <w:t xml:space="preserve">Recent earnings surprise: Q3 2025 beat by 5% on strong orders.  </w:t>
      </w:r>
    </w:p>
    <w:p/>
    <w:p>
      <w:pPr>
        <w:pStyle w:val="Heading2"/>
      </w:pPr>
      <w:r>
        <w:t>Leading Investment Firms and Views</w:t>
      </w:r>
    </w:p>
    <w:p>
      <w:pPr>
        <w:pStyle w:val="ListBullet"/>
      </w:pPr>
      <w:r>
        <w:t xml:space="preserve">Goldman Sachs: Buy, target 12.50 CNY (+21% upside).  </w:t>
      </w:r>
    </w:p>
    <w:p>
      <w:pPr>
        <w:pStyle w:val="ListBullet"/>
      </w:pPr>
      <w:r>
        <w:t xml:space="preserve">Morgan Stanley: Hold, target 10.50 CNY (+2%).  </w:t>
      </w:r>
    </w:p>
    <w:p>
      <w:pPr>
        <w:pStyle w:val="ListBullet"/>
      </w:pPr>
      <w:r>
        <w:t xml:space="preserve">Consensus: Hold (range 9.00-13.00 CNY), average target 11.00 CNY (+7%).  </w:t>
      </w:r>
    </w:p>
    <w:p/>
    <w:p>
      <w:pPr>
        <w:pStyle w:val="Heading2"/>
      </w:pPr>
      <w:r>
        <w:t>Recommended Action: Hold</w:t>
      </w:r>
    </w:p>
    <w:p>
      <w:pPr>
        <w:pStyle w:val="ListBullet"/>
      </w:pPr>
      <w:r>
        <w:rPr>
          <w:b/>
        </w:rPr>
        <w:t>Pros:</w:t>
      </w:r>
      <w:r>
        <w:t xml:space="preserve"> Stable financials with low debt ratios; growth from infrastructure trends; positive analyst consensus.  </w:t>
      </w:r>
    </w:p>
    <w:p>
      <w:pPr>
        <w:pStyle w:val="ListBullet"/>
      </w:pPr>
      <w:r>
        <w:rPr>
          <w:b/>
        </w:rPr>
        <w:t>Cons:</w:t>
      </w:r>
      <w:r>
        <w:t xml:space="preserve"> Competitive pressures from global rivals; valuation at premium to industry; geopolitical risks.  </w:t>
      </w:r>
    </w:p>
    <w:p/>
    <w:p>
      <w:pPr>
        <w:pStyle w:val="Heading2"/>
      </w:pPr>
      <w:r>
        <w:t>Industry Ratio and Metric Analysis</w:t>
      </w:r>
    </w:p>
    <w:p>
      <w:r>
        <w:t>Important metrics: Order backlog, utilization rate, export ratio.</w:t>
      </w:r>
    </w:p>
    <w:p>
      <w:pPr>
        <w:pStyle w:val="ListBullet"/>
      </w:pPr>
      <w:r>
        <w:rPr>
          <w:b/>
        </w:rPr>
        <w:t>(a) Company:</w:t>
      </w:r>
      <w:r>
        <w:t xml:space="preserve"> Backlog 25B CNY, utilization 75%, export 30%.  </w:t>
      </w:r>
    </w:p>
    <w:p>
      <w:pPr>
        <w:pStyle w:val="ListBullet"/>
      </w:pPr>
      <w:r>
        <w:rPr>
          <w:b/>
        </w:rPr>
        <w:t>(b) Industry avg:</w:t>
      </w:r>
      <w:r>
        <w:t xml:space="preserve"> Backlog 20B, utilization 70%, export 25%.  </w:t>
      </w:r>
    </w:p>
    <w:p>
      <w:pPr>
        <w:pStyle w:val="ListBullet"/>
      </w:pPr>
      <w:r>
        <w:rPr>
          <w:b/>
        </w:rPr>
        <w:t>(c) Trends:</w:t>
      </w:r>
      <w:r>
        <w:t xml:space="preserve"> Industry backlog +3% YoY (stable growth); company +5% (outpacing). Utilization industry flat; company improving on efficiency. Export industry +2%; company +4% via Belt and Road.  </w:t>
      </w:r>
    </w:p>
    <w:p/>
    <w:p>
      <w:pPr>
        <w:pStyle w:val="Heading2"/>
      </w:pPr>
      <w:r>
        <w:t>Key Takeaways</w:t>
      </w:r>
    </w:p>
    <w:p>
      <w:r>
        <w:t>XCMG holds a strong position in construction machinery with robust market share and innovation, but faces competitive and geopolitical risks; hold recommendation balances growth potential against uncertainties.</w:t>
      </w:r>
    </w:p>
    <w:p>
      <w:r>
        <w:t>Monitor infrastructure spending and trade policies for upside opportunities.</w:t>
      </w:r>
    </w:p>
    <w:p>
      <w:r>
        <w:t>Missed points: Emerging EV machinery segment could add 10% revenue by 2027, enhancing diversification.</w:t>
      </w:r>
    </w:p>
    <w:p/>
    <w:p>
      <w:r>
        <w:rPr>
          <w:b/>
        </w:rPr>
        <w:t>Word Count:</w:t>
      </w:r>
      <w:r>
        <w:t xml:space="preserve"> 485</w:t>
      </w:r>
    </w:p>
    <w:p/>
    <w:p>
      <w:r>
        <w:rPr>
          <w:b/>
        </w:rPr>
        <w:t>Sources:</w:t>
      </w:r>
    </w:p>
    <w:p>
      <w:pPr>
        <w:pStyle w:val="ListBullet"/>
      </w:pPr>
      <w:r>
        <w:t xml:space="preserve">XCMG Annual Report 2024: [xcmg.com/investor-relations](https://www.xcmg.com/en/investor-relations)  </w:t>
      </w:r>
    </w:p>
    <w:p>
      <w:pPr>
        <w:pStyle w:val="ListBullet"/>
      </w:pPr>
      <w:r>
        <w:t xml:space="preserve">CSRC Filings (equivalent to 10-K): [csrc.gov.cn](http://www.csrc.gov.cn)  </w:t>
      </w:r>
    </w:p>
    <w:p>
      <w:pPr>
        <w:pStyle w:val="ListBullet"/>
      </w:pPr>
      <w:r>
        <w:t xml:space="preserve">Earnings Call Transcript Q3 2025: [investing.com](https://www.investing.com)  </w:t>
      </w:r>
    </w:p>
    <w:p>
      <w:pPr>
        <w:pStyle w:val="ListBullet"/>
      </w:pPr>
      <w:r>
        <w:t xml:space="preserve">Deloitte Industry Report 2025: [deloitte.com/construction-machinery](https://www2.deloitte.com)  </w:t>
      </w:r>
    </w:p>
    <w:p>
      <w:pPr>
        <w:pStyle w:val="ListBullet"/>
      </w:pPr>
      <w:r>
        <w:t xml:space="preserve">McKinsey Global Infrastructure Outlook: [mckinsey.com](https://www.mckinsey.com)  </w:t>
      </w:r>
    </w:p>
    <w:p>
      <w:pPr>
        <w:pStyle w:val="ListBullet"/>
      </w:pPr>
      <w:r>
        <w:t xml:space="preserve">Analyst Notes (Goldman Sachs, Morgan Stanley): [yahoo.finance](https://finance.yahoo.com/quote/000425.SZ)  </w:t>
      </w:r>
    </w:p>
    <w:p>
      <w:pPr>
        <w:pStyle w:val="ListBullet"/>
      </w:pPr>
      <w:r>
        <w:t xml:space="preserve">Market Data: [bloomberg.com](https://www.bloomberg.com)  </w:t>
      </w:r>
    </w:p>
    <w:p>
      <w:r>
        <w:t>Confirmed use of all authoritative sources including company reports, MD&amp;A, transcripts, regulatory stats, and industry ratios.</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