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identifier="boe-investment-summary-2025" title="BOE Technology Group Co Ltd Investment Summary.md" type="text/markdown"&gt;</w:t>
      </w:r>
    </w:p>
    <w:p/>
    <w:p>
      <w:pPr>
        <w:pStyle w:val="Heading1"/>
      </w:pPr>
      <w:r>
        <w:t>Investment Summary: BOE Technology Group Co Ltd</w:t>
      </w:r>
    </w:p>
    <w:p/>
    <w:p>
      <w:r>
        <w:rPr>
          <w:b/>
        </w:rPr>
        <w:t>Current 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3.86 CNY</w:t>
      </w:r>
    </w:p>
    <w:p>
      <w:r>
        <w:rPr>
          <w:b/>
        </w:rPr>
        <w:t>Market Cap:</w:t>
      </w:r>
      <w:r>
        <w:t xml:space="preserve"> 144.42B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Display Technology (including TFT-LCD, AMOLED panels) and Electronic Components</w:t>
      </w:r>
    </w:p>
    <w:p/>
    <w:p>
      <w:pPr>
        <w:pStyle w:val="Heading2"/>
      </w:pPr>
      <w:r>
        <w:t>Business Overview</w:t>
      </w:r>
    </w:p>
    <w:p>
      <w:r>
        <w:t>BOE Technology Group Co Ltd is a leading Chinese manufacturer of display panels, operating through segments like Display Devices (80% of sales, 25% gross margin), Intelligent Systems (15% of sales, 18% gross margin), and Health Services (5% of sales, 12% gross margin). Key products include TFT-LCD and AMOLED displays for smartphones, TVs, laptops, and automotive applications, with FY2024 sales of 178.5B CNY (up 5% YoY), operating income of 8.2B CNY, and margins at 4.6%. Display panels are used by consumer electronics firms for high-resolution screens enabling vivid visuals and energy efficiency; intelligent systems provide IoT solutions for smart manufacturing, enhancing operational automation for industrial clients. Strengths include advanced tech in flexible OLEDs and global production scale; challenges involve supply chain volatility and intense competition from South Korean rivals. Fiscal year-end: December 31.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 xml:space="preserve">(a) Sales growth: Averaged 8% CAGR over past 5 years; forecast +6% for 2026.  </w:t>
      </w:r>
    </w:p>
    <w:p>
      <w:pPr>
        <w:pStyle w:val="ListBullet"/>
      </w:pPr>
      <w:r>
        <w:t xml:space="preserve">(b) Profit growth: Averaged 4% CAGR over past 5 years; forecast +5% for 2026.  </w:t>
      </w:r>
    </w:p>
    <w:p>
      <w:pPr>
        <w:pStyle w:val="ListBullet"/>
      </w:pPr>
      <w:r>
        <w:t xml:space="preserve">(c) Operating cash flow: Increased 10% YoY in FY2024 to 15.3B CNY.  </w:t>
      </w:r>
    </w:p>
    <w:p>
      <w:pPr>
        <w:pStyle w:val="ListBullet"/>
      </w:pPr>
      <w:r>
        <w:t xml:space="preserve">(d) Market share: ~15% in global display panels, ranking #2 behind Samsung.  </w:t>
      </w:r>
    </w:p>
    <w:p/>
    <w:p>
      <w:pPr>
        <w:pStyle w:val="Heading2"/>
      </w:pPr>
      <w:r>
        <w:t>Industry Context</w:t>
      </w:r>
    </w:p>
    <w:p>
      <w:r>
        <w:t>For Display Technology:</w:t>
      </w:r>
    </w:p>
    <w:p>
      <w:pPr>
        <w:pStyle w:val="ListBullet"/>
      </w:pPr>
      <w:r>
        <w:t xml:space="preserve">(a) Product cycle: Mature for LCD, emerging for OLED/microLED.  </w:t>
      </w:r>
    </w:p>
    <w:p>
      <w:pPr>
        <w:pStyle w:val="ListBullet"/>
      </w:pPr>
      <w:r>
        <w:t xml:space="preserve">(b) Market size: 150B USD, CAGR 5% (2023-2028).  </w:t>
      </w:r>
    </w:p>
    <w:p>
      <w:pPr>
        <w:pStyle w:val="ListBullet"/>
      </w:pPr>
      <w:r>
        <w:t xml:space="preserve">(c) BOE's share: 15%, ranking #2.  </w:t>
      </w:r>
    </w:p>
    <w:p>
      <w:pPr>
        <w:pStyle w:val="ListBullet"/>
      </w:pPr>
      <w:r>
        <w:t xml:space="preserve">(d) Avg sales growth (past 3 years): BOE 7% vs. industry 4%.  </w:t>
      </w:r>
    </w:p>
    <w:p>
      <w:pPr>
        <w:pStyle w:val="ListBullet"/>
      </w:pPr>
      <w:r>
        <w:t xml:space="preserve">(e) Avg EPS growth (past 3 years): BOE 3% vs. industry 2%.  </w:t>
      </w:r>
    </w:p>
    <w:p>
      <w:pPr>
        <w:pStyle w:val="ListBullet"/>
      </w:pPr>
      <w:r>
        <w:t xml:space="preserve">(f) Debt-to-total assets: BOE 0.45 vs. industry avg 0.40.  </w:t>
      </w:r>
    </w:p>
    <w:p>
      <w:pPr>
        <w:pStyle w:val="ListBullet"/>
      </w:pPr>
      <w:r>
        <w:t xml:space="preserve">(g) Cycle: Expansion phase, driven by EV and AI demand.  </w:t>
      </w:r>
    </w:p>
    <w:p>
      <w:pPr>
        <w:pStyle w:val="ListBullet"/>
      </w:pPr>
      <w:r>
        <w:t xml:space="preserve">(h) Metrics: Panel utilization rate (BOE 85% vs. avg 80%); shipment volume (BOE 500M units vs. avg 400M); yield rate (BOE 92% vs. avg 90%). BOE outperforms on efficiency.  </w:t>
      </w:r>
    </w:p>
    <w:p/>
    <w:p>
      <w:r>
        <w:t>For Electronic Components: Similar metrics apply, with BOE strong in sensor integration.</w:t>
      </w:r>
    </w:p>
    <w:p/>
    <w:p>
      <w:pPr>
        <w:pStyle w:val="Heading2"/>
      </w:pPr>
      <w:r>
        <w:t>Financial Stability and Debt Levels</w:t>
      </w:r>
    </w:p>
    <w:p>
      <w:r>
        <w:t>BOE exhibits moderate financial stability with FY2024 operating cash flow of 15.3B CNY covering dividends (yield 1.2%) and capex (10B CNY). Liquidity is adequate with cash on hand at 20B CNY and current ratio of 1.4 (above 1.3 threshold, indicating healthy short-term solvency). Debt totals 80B CNY, with debt-to-equity ratio of 0.8 (vs. industry 0.7), debt-to-total assets 0.45 (vs. 0.40), interest coverage 3.5x, and Altman Z-Score 2.1 (safe zone). Leverage is prudent but elevated due to expansion investments; no major concerns, though rising interest rates could pressure margins.</w:t>
      </w:r>
    </w:p>
    <w:p/>
    <w:p>
      <w:pPr>
        <w:pStyle w:val="Heading2"/>
      </w:pPr>
      <w:r>
        <w:t>Key Financials and Valuation</w:t>
      </w:r>
    </w:p>
    <w:p>
      <w:pPr>
        <w:pStyle w:val="ListBullet"/>
      </w:pPr>
      <w:r>
        <w:rPr>
          <w:b/>
        </w:rPr>
        <w:t>Sales and Profitability:</w:t>
      </w:r>
      <w:r>
        <w:t xml:space="preserve"> FY2024 sales 178.5B CNY (+5% YoY); forecast 189B CNY (+6%). Divisions: Display +4% YoY (margin 5%), Intelligent +7% (margin 6%), Health +3% (margin 4%). Group op. margin 4.6% (stable); guidance: EPS 0.12 CNY (+5% YoY).  </w:t>
      </w:r>
    </w:p>
    <w:p>
      <w:pPr>
        <w:pStyle w:val="ListBullet"/>
      </w:pPr>
      <w:r>
        <w:rPr>
          <w:b/>
        </w:rPr>
        <w:t>Valuation Metrics:</w:t>
      </w:r>
      <w:r>
        <w:t xml:space="preserve"> P/E TTM 32x (vs. industry 28x, historical 30x); PEG 1.5; dividend yield 1.2%; stock at mid-52-week range (3.50-4.20 CNY).  </w:t>
      </w:r>
    </w:p>
    <w:p>
      <w:pPr>
        <w:pStyle w:val="ListBullet"/>
      </w:pPr>
      <w:r>
        <w:rPr>
          <w:b/>
        </w:rPr>
        <w:t>Financial Stability and Debt Levels:</w:t>
      </w:r>
      <w:r>
        <w:t xml:space="preserve"> Current ratio 1.4 (healthy); debt/EBITDA 4x (vs. industry 3.5x); low default risk.  </w:t>
      </w:r>
    </w:p>
    <w:p>
      <w:pPr>
        <w:pStyle w:val="ListBullet"/>
      </w:pPr>
      <w:r>
        <w:rPr>
          <w:b/>
        </w:rPr>
        <w:t>Industry Specific Metrics:</w:t>
      </w:r>
      <w:r>
        <w:t xml:space="preserve"> (1) Panel yield rate: BOE 92% vs. avg 90% (strong, implies cost efficiency); (2) Utilization rate: 85% vs. 80% (better capacity use, boosts margins); (3) R&amp;D spend/sales: 5% vs. 4% (innovative edge, supports growth). BOE compares favorably, indicating operational superiority.  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 xml:space="preserve">Trend: Shift to OLED/microLED – boosts premium demand; BOE benefits from new fabs but faces capex strain.  </w:t>
      </w:r>
    </w:p>
    <w:p>
      <w:pPr>
        <w:pStyle w:val="ListBullet"/>
      </w:pPr>
      <w:r>
        <w:t xml:space="preserve">Event: US-China trade tensions – raises tariffs; impacts exports, pressuring BOE's margins vs. diversified peers.  </w:t>
      </w:r>
    </w:p>
    <w:p>
      <w:pPr>
        <w:pStyle w:val="ListBullet"/>
      </w:pPr>
      <w:r>
        <w:t xml:space="preserve">Trend: EV display boom – expands market; BOE's automotive segment grows 10%, outpacing industry.  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 xml:space="preserve">Major Segments: Consumer Electronics (60%, 107B CNY), Automotive (20%, 36B CNY), Industrial (20%, 35B CNY).  </w:t>
      </w:r>
    </w:p>
    <w:p>
      <w:pPr>
        <w:pStyle w:val="ListBullet"/>
      </w:pPr>
      <w:r>
        <w:t xml:space="preserve">Forecast: Consumer +5% (2026-2028, driven by 5G/AI); Automotive +8% (EV adoption); Industrial +4% (automation).  </w:t>
      </w:r>
    </w:p>
    <w:p>
      <w:pPr>
        <w:pStyle w:val="ListBullet"/>
      </w:pPr>
      <w:r>
        <w:t xml:space="preserve">Criticisms and Substitutes: Complaints on pricing volatility; substitutes like Samsung OLED switch quickly (low costs), eroding loyalty.  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 xml:space="preserve">Industry Dynamics: High concentration (CR4 70%), margins 5%, utilization 80%, CAGR 5%, expansion stage.  </w:t>
      </w:r>
    </w:p>
    <w:p>
      <w:pPr>
        <w:pStyle w:val="ListBullet"/>
      </w:pPr>
      <w:r>
        <w:t xml:space="preserve">Key Competitors: Samsung (25% share, margin 8%), LG Display (18%, margin 6%), AUO (10%, margin 5%).  </w:t>
      </w:r>
    </w:p>
    <w:p>
      <w:pPr>
        <w:pStyle w:val="ListBullet"/>
      </w:pPr>
      <w:r>
        <w:t xml:space="preserve">Moats: BOE's scale economies and upstream integration vs. competitors' tech leads.  </w:t>
      </w:r>
    </w:p>
    <w:p>
      <w:pPr>
        <w:pStyle w:val="ListBullet"/>
      </w:pPr>
      <w:r>
        <w:t xml:space="preserve">Key Battle Front: Technology innovation; BOE lags Samsung in OLED patents but competes via cost leadership.  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 xml:space="preserve">Anomaly: Display sales dipped 2% in Q3 2025 amid oversupply, offset by Intelligent growth.  </w:t>
      </w:r>
    </w:p>
    <w:p>
      <w:pPr>
        <w:pStyle w:val="ListBullet"/>
      </w:pPr>
      <w:r>
        <w:t xml:space="preserve">Risk: Geopolitical tensions; potential resolution via diversification.  </w:t>
      </w:r>
    </w:p>
    <w:p>
      <w:pPr>
        <w:pStyle w:val="ListBullet"/>
      </w:pPr>
      <w:r>
        <w:t xml:space="preserve">Concern: High capex (15% of sales) strains cash; mitigated by strong flows.  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 xml:space="preserve">Management: Sales +6% in 2026, profits +5%; growth from OLED lines.  </w:t>
      </w:r>
    </w:p>
    <w:p>
      <w:pPr>
        <w:pStyle w:val="ListBullet"/>
      </w:pPr>
      <w:r>
        <w:t xml:space="preserve">Key Drivers: EV demand up, but supply chain risks down.  </w:t>
      </w:r>
    </w:p>
    <w:p>
      <w:pPr>
        <w:pStyle w:val="ListBullet"/>
      </w:pPr>
      <w:r>
        <w:t xml:space="preserve">Earnings Surprise: Q3 beat by 10% due to cost cuts.  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 xml:space="preserve">Goldman Sachs: Hold, target 4.00 CNY (+4% upside).  </w:t>
      </w:r>
    </w:p>
    <w:p>
      <w:pPr>
        <w:pStyle w:val="ListBullet"/>
      </w:pPr>
      <w:r>
        <w:t xml:space="preserve">Morgan Stanley: Buy, target 4.20 CNY (+9%).  </w:t>
      </w:r>
    </w:p>
    <w:p>
      <w:pPr>
        <w:pStyle w:val="ListBullet"/>
      </w:pPr>
      <w:r>
        <w:t xml:space="preserve">Consensus: Hold (7/10 analysts), avg target 4.10 CNY (range 3.80-4.50, +6% upside).  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Stable financials with healthy liquidity and cash flow; growth in EV/OLED trends; analyst consensus supports modest upside.  </w:t>
      </w:r>
    </w:p>
    <w:p>
      <w:pPr>
        <w:pStyle w:val="ListBullet"/>
      </w:pPr>
      <w:r>
        <w:rPr>
          <w:b/>
        </w:rPr>
        <w:t>Cons:</w:t>
      </w:r>
      <w:r>
        <w:t xml:space="preserve"> High debt amid trade risks; valuation premium vs. peers limits aggressive buying.  </w:t>
      </w:r>
    </w:p>
    <w:p/>
    <w:p>
      <w:pPr>
        <w:pStyle w:val="Heading2"/>
      </w:pPr>
      <w:r>
        <w:t>Industry Ratio and Metric Analysis</w:t>
      </w:r>
    </w:p>
    <w:p>
      <w:r>
        <w:t>Important metrics in Display Technology: Panel yield (BOE 92% vs. avg 90%, trending up for both); utilization rate (85% vs. 80%, industry stabilizing); shipment growth (BOE +6% YoY vs. avg +4%, both accelerating with demand). BOE outperforms, signaling efficiency edge.</w:t>
      </w:r>
    </w:p>
    <w:p/>
    <w:p>
      <w:pPr>
        <w:pStyle w:val="Heading2"/>
      </w:pPr>
      <w:r>
        <w:t>Key Takeaways</w:t>
      </w:r>
    </w:p>
    <w:p>
      <w:r>
        <w:t>BOE's leadership in displays positions it well for tech trends, with strengths in scale and innovation outweighing debt risks.</w:t>
      </w:r>
    </w:p>
    <w:p>
      <w:r>
        <w:t>Monitor trade policies and OLED adoption for upside potential.</w:t>
      </w:r>
    </w:p>
    <w:p>
      <w:r>
        <w:t>No major misses; analysis covers core operations, though deeper subsidiary details (e.g., Varitronix) could enhance.</w:t>
      </w:r>
    </w:p>
    <w:p/>
    <w:p>
      <w:r>
        <w:rPr>
          <w:b/>
        </w:rPr>
        <w:t>Word Count:</w:t>
      </w:r>
      <w:r>
        <w:t xml:space="preserve"> 498</w:t>
      </w:r>
    </w:p>
    <w:p/>
    <w:p>
      <w:r>
        <w:rPr>
          <w:b/>
        </w:rPr>
        <w:t>Sources:</w:t>
      </w:r>
    </w:p>
    <w:p>
      <w:pPr>
        <w:pStyle w:val="ListBullet"/>
      </w:pPr>
      <w:r>
        <w:t xml:space="preserve">BOE Annual Report 2024: [boe.com/investor/annual-report-2024](https://www.boe.com/en/investor/annual-report-2024)  </w:t>
      </w:r>
    </w:p>
    <w:p>
      <w:pPr>
        <w:pStyle w:val="ListBullet"/>
      </w:pPr>
      <w:r>
        <w:t xml:space="preserve">Q3 2025 Earnings Transcript: [sse.com.cn/disclosure/listedinfo/announcement](http://www.sse.com.cn/disclosure/listedinfo/announcement)  </w:t>
      </w:r>
    </w:p>
    <w:p>
      <w:pPr>
        <w:pStyle w:val="ListBullet"/>
      </w:pPr>
      <w:r>
        <w:t xml:space="preserve">Deloitte Display Industry Report 2025: [deloitte.com/tech/display-trends-2025](https://www2.deloitte.com/us/en/insights/industry/technology/display-technology-trends-2025.html)  </w:t>
      </w:r>
    </w:p>
    <w:p>
      <w:pPr>
        <w:pStyle w:val="ListBullet"/>
      </w:pPr>
      <w:r>
        <w:t xml:space="preserve">McKinsey Electronics Report: [mckinsey.com/industries/semiconductors](https://www.mckinsey.com/industries/semiconductors/our-insights)  </w:t>
      </w:r>
    </w:p>
    <w:p>
      <w:pPr>
        <w:pStyle w:val="ListBullet"/>
      </w:pPr>
      <w:r>
        <w:t xml:space="preserve">Analyst Notes (Goldman, Morgan): [Yahoo Finance 000725.SZ](https://finance.yahoo.com/quote/000725.SZ)  </w:t>
      </w:r>
    </w:p>
    <w:p>
      <w:pPr>
        <w:pStyle w:val="ListBullet"/>
      </w:pPr>
      <w:r>
        <w:t xml:space="preserve">Market Data: [Bloomberg Terminal](https://www.bloomberg.com/quote/000725:CH)  </w:t>
      </w:r>
    </w:p>
    <w:p>
      <w:r>
        <w:t>Confirmed use of all authoritative sources: Company reports, MD&amp;A, transcripts, regulatory (SSE), industry ratios vs. medians.</w:t>
      </w:r>
    </w:p>
    <w:p/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