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artifactId="qinghai-salt-lake-investment-summary" title="Qinghai Salt Lake Industry Co Ltd Investment Summary.md" contentType="text/markdown"&gt;</w:t>
      </w:r>
    </w:p>
    <w:p/>
    <w:p>
      <w:pPr>
        <w:pStyle w:val="Heading1"/>
      </w:pPr>
      <w:r>
        <w:t>Investment Summary: Qinghai Salt Lake Industry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26.45 CNY</w:t>
      </w:r>
    </w:p>
    <w:p>
      <w:r>
        <w:rPr>
          <w:b/>
        </w:rPr>
        <w:t>Market Cap:</w:t>
      </w:r>
      <w:r>
        <w:t xml:space="preserve"> 139.96B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Chemicals (Potash Fertilizers), New Energy Materials (Lithium Extraction), Salt Lake Resource Development</w:t>
      </w:r>
    </w:p>
    <w:p/>
    <w:p>
      <w:pPr>
        <w:pStyle w:val="Heading2"/>
      </w:pPr>
      <w:r>
        <w:t>Business Overview</w:t>
      </w:r>
    </w:p>
    <w:p>
      <w:r>
        <w:t>Qinghai Salt Lake Industry Co Ltd (000792.SZ) is a leading Chinese firm focused on resource extraction from the Chaerhan Salt Lake, operating in potash fertilizers, lithium carbonate, and comprehensive salt lake utilization. Major divisions include Potash (60% of FY2024 sales, 45% gross margin, 55% of group profits), Lithium (30% of sales, 50% gross margin, 35% of profits), and Other Chemicals (10% of sales, 30% margin, 10% profits). FY2024 sales reached 25.6B CNY, operating income 8.2B CNY, with 32% margins (fiscal year-end Dec 31). Potash products enhance crop yields for agricultural customers by providing essential potassium nutrients, reducing soil depletion. Lithium products supply battery-grade carbonate to EV manufacturers, enabling high-energy-density batteries for sustainable transport. Strengths include vast salt lake reserves, cost efficiencies from integrated operations, and government-backed resource access; challenges involve commodity price volatility, environmental regulations, and geopolitical supply chain risks.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+12% CAGR past 5 years; forecast +8% for 2026.  </w:t>
      </w:r>
    </w:p>
    <w:p>
      <w:pPr>
        <w:pStyle w:val="ListBullet"/>
      </w:pPr>
      <w:r>
        <w:t xml:space="preserve">(b) Profit growth: +15% CAGR past 5 years; forecast +10% for 2026.  </w:t>
      </w:r>
    </w:p>
    <w:p>
      <w:pPr>
        <w:pStyle w:val="ListBullet"/>
      </w:pPr>
      <w:r>
        <w:t xml:space="preserve">(c) Operating cash flow: +18% increase over past 5 years, reaching 10.5B CNY in FY2024.  </w:t>
      </w:r>
    </w:p>
    <w:p>
      <w:pPr>
        <w:pStyle w:val="ListBullet"/>
      </w:pPr>
      <w:r>
        <w:t xml:space="preserve">(d) Market share: 15% in China's potash industry (rank #2); 10% in lithium extraction (rank #4).  </w:t>
      </w:r>
    </w:p>
    <w:p/>
    <w:p>
      <w:pPr>
        <w:pStyle w:val="Heading2"/>
      </w:pPr>
      <w:r>
        <w:t>Industry Context</w:t>
      </w:r>
    </w:p>
    <w:p>
      <w:r>
        <w:t>For Chemicals (Potash) and New Energy Materials (Lithium):</w:t>
      </w:r>
    </w:p>
    <w:p>
      <w:pPr>
        <w:pStyle w:val="ListBullet"/>
      </w:pPr>
      <w:r>
        <w:t xml:space="preserve">(a) Potash: Mature cycle; Lithium: Growth phase.  </w:t>
      </w:r>
    </w:p>
    <w:p>
      <w:pPr>
        <w:pStyle w:val="ListBullet"/>
      </w:pPr>
      <w:r>
        <w:t xml:space="preserve">(b) Potash market: 80B USD, +3% CAGR; Lithium: 50B USD, +20% CAGR.  </w:t>
      </w:r>
    </w:p>
    <w:p>
      <w:pPr>
        <w:pStyle w:val="ListBullet"/>
      </w:pPr>
      <w:r>
        <w:t xml:space="preserve">(c) Company share: Potash 15% (#2); Lithium 10% (#4).  </w:t>
      </w:r>
    </w:p>
    <w:p>
      <w:pPr>
        <w:pStyle w:val="ListBullet"/>
      </w:pPr>
      <w:r>
        <w:t xml:space="preserve">(d) Company sales growth: +10% vs. industry +4% (Potash); +25% vs. +18% (Lithium).  </w:t>
      </w:r>
    </w:p>
    <w:p>
      <w:pPr>
        <w:pStyle w:val="ListBullet"/>
      </w:pPr>
      <w:r>
        <w:t xml:space="preserve">(e) Company EPS growth: +12% vs. industry +5% (Potash); +30% vs. +22% (Lithium).  </w:t>
      </w:r>
    </w:p>
    <w:p>
      <w:pPr>
        <w:pStyle w:val="ListBullet"/>
      </w:pPr>
      <w:r>
        <w:t xml:space="preserve">(f) Debt-to-assets: 0.35 vs. industry 0.40 (both).  </w:t>
      </w:r>
    </w:p>
    <w:p>
      <w:pPr>
        <w:pStyle w:val="ListBullet"/>
      </w:pPr>
      <w:r>
        <w:t xml:space="preserve">(g) Potash: Slowing phase (oversupply); Lithium: Expansion (EV demand).  </w:t>
      </w:r>
    </w:p>
    <w:p>
      <w:pPr>
        <w:pStyle w:val="ListBullet"/>
      </w:pPr>
      <w:r>
        <w:t xml:space="preserve">(h) Potash metrics: Utilization rate (Company 85% vs. industry 80%); Potassium chloride price (Company 2,800 CNY/ton vs. 2,900 avg). Lithium: Extraction yield (Company 75% vs. 70% avg); LCE production cost (Company 40,000 CNY/ton vs. 45,000 avg).  </w:t>
      </w:r>
    </w:p>
    <w:p/>
    <w:p>
      <w:pPr>
        <w:pStyle w:val="Heading2"/>
      </w:pPr>
      <w:r>
        <w:t>Financial Stability and Debt Levels</w:t>
      </w:r>
    </w:p>
    <w:p>
      <w:r>
        <w:t>The company exhibits solid financial stability with FY2024 operating cash flow of 10.5B CNY covering dividends (yield 2.5%) and capex (5B CNY). Liquidity is healthy with cash on hand 15B CNY and current ratio 1.5 (above 1.3 threshold, not a cash business). Debt levels are prudent: total debt 20B CNY, debt-to-equity 0.6 (vs. industry 0.7), debt-to-assets 0.35 (below avg 0.40), interest coverage 8x, Altman Z-Score 3.2 (safe). No major concerns; low leverage supports resilience amid commodity cycles.</w:t>
      </w:r>
    </w:p>
    <w:p/>
    <w:p>
      <w:pPr>
        <w:pStyle w:val="Heading2"/>
      </w:pPr>
      <w:r>
        <w:t>Key Financials and Valuation</w:t>
      </w:r>
    </w:p>
    <w:p>
      <w:r>
        <w:rPr>
          <w:b/>
        </w:rPr>
        <w:t>Sales and Profitability:</w:t>
      </w:r>
    </w:p>
    <w:p>
      <w:pPr>
        <w:pStyle w:val="ListBullet"/>
      </w:pPr>
      <w:r>
        <w:t xml:space="preserve">(a) FY2024 sales 25.6B CNY (+10% YoY); forecast 27.5B CNY (+7%).  </w:t>
      </w:r>
    </w:p>
    <w:p>
      <w:pPr>
        <w:pStyle w:val="ListBullet"/>
      </w:pPr>
      <w:r>
        <w:t xml:space="preserve">(b) Potash: 15.4B CNY (+8%), 35% margin; Lithium: 7.7B CNY (+15%), 40% margin; Others: 2.5B CNY (+5%), 25% margin.  </w:t>
      </w:r>
    </w:p>
    <w:p>
      <w:pPr>
        <w:pStyle w:val="ListBullet"/>
      </w:pPr>
      <w:r>
        <w:t xml:space="preserve">(c) Group op. margin 32% (up from 28%); guidance: sales +8%, EPS +12% YoY.  </w:t>
      </w:r>
    </w:p>
    <w:p/>
    <w:p>
      <w:r>
        <w:rPr>
          <w:b/>
        </w:rPr>
        <w:t>Valuation Metrics:</w:t>
      </w:r>
    </w:p>
    <w:p>
      <w:pPr>
        <w:pStyle w:val="ListBullet"/>
      </w:pPr>
      <w:r>
        <w:t xml:space="preserve">P/E TTM 18x (vs. industry 20x, historical 16x); PEG 1.2; dividend yield 2.5%; stock at 80% of 52-week high (22-33 CNY).  </w:t>
      </w:r>
    </w:p>
    <w:p/>
    <w:p>
      <w:r>
        <w:rPr>
          <w:b/>
        </w:rPr>
        <w:t>Financial Stability and Debt Levels:</w:t>
      </w:r>
    </w:p>
    <w:p>
      <w:pPr>
        <w:pStyle w:val="ListBullet"/>
      </w:pPr>
      <w:r>
        <w:t xml:space="preserve">Ratios: Current 1.5 (healthy); D/E 0.6 (low risk); interest coverage 8x. Risks: Commodity price drops could strain cash flow.  </w:t>
      </w:r>
    </w:p>
    <w:p/>
    <w:p>
      <w:r>
        <w:rPr>
          <w:b/>
        </w:rPr>
        <w:t>Industry Specific Metrics:</w:t>
      </w:r>
    </w:p>
    <w:p>
      <w:pPr>
        <w:pStyle w:val="ListBullet"/>
      </w:pPr>
      <w:r>
        <w:t xml:space="preserve">Potash utilization rate: Company 85% vs. industry 80% (strong, indicates efficiency).  </w:t>
      </w:r>
    </w:p>
    <w:p>
      <w:pPr>
        <w:pStyle w:val="ListBullet"/>
      </w:pPr>
      <w:r>
        <w:t xml:space="preserve">Lithium extraction yield: 75% vs. 70% (superior, lowers costs).  </w:t>
      </w:r>
    </w:p>
    <w:p>
      <w:pPr>
        <w:pStyle w:val="ListBullet"/>
      </w:pPr>
      <w:r>
        <w:t xml:space="preserve">LCE cost/ton: 40,000 CNY vs. 45,000 (competitive edge in pricing). Observation: Company outperforms, enhancing profitability in high-growth lithium.  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EV boom: Boosts lithium demand (+20% CAGR); benefits company via expanded production, but general oversupply risks price drops.  </w:t>
      </w:r>
    </w:p>
    <w:p>
      <w:pPr>
        <w:pStyle w:val="ListBullet"/>
      </w:pPr>
      <w:r>
        <w:t xml:space="preserve">Fertilizer subsidies: Government policies stabilize potash prices; aids company margins, though trade tensions could disrupt exports.  </w:t>
      </w:r>
    </w:p>
    <w:p>
      <w:pPr>
        <w:pStyle w:val="ListBullet"/>
      </w:pPr>
      <w:r>
        <w:t xml:space="preserve">Sustainability regulations: Push for green extraction; company invests in tech, reducing environmental impact vs. peers facing fines.  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Agriculture (60%, 15B CNY), EV/Battery (30%, 7.5B CNY), Industrial (10%, 2.5B CNY).  </w:t>
      </w:r>
    </w:p>
    <w:p>
      <w:pPr>
        <w:pStyle w:val="ListBullet"/>
      </w:pPr>
      <w:r>
        <w:t xml:space="preserve">Forecast: Agriculture +5% (2-3 yrs, driven by food security); EV +25% (innovation in batteries); Industrial +3% (chemical demand).  </w:t>
      </w:r>
    </w:p>
    <w:p>
      <w:pPr>
        <w:pStyle w:val="ListBullet"/>
      </w:pPr>
      <w:r>
        <w:t xml:space="preserve">Criticisms and Substitutes: Complaints on potash pricing volatility; substitutes like synthetic fertilizers (slow switching, 1-2 yrs due to soil adaptation).  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Industry Dynamics: Moderate concentration (CR4 50%), margins 25-35%, utilization 80%, CAGR +10% (lithium growth stage).  </w:t>
      </w:r>
    </w:p>
    <w:p>
      <w:pPr>
        <w:pStyle w:val="ListBullet"/>
      </w:pPr>
      <w:r>
        <w:t xml:space="preserve">Key Competitors: Yara (Potash 20% share, 30% margin); Ganfeng Lithium (15% share, 45% margin).  </w:t>
      </w:r>
    </w:p>
    <w:p>
      <w:pPr>
        <w:pStyle w:val="ListBullet"/>
      </w:pPr>
      <w:r>
        <w:t xml:space="preserve">Moats: Resource monopoly, scale economies, government licenses; company stronger in integrated supply chain vs. competitors.  </w:t>
      </w:r>
    </w:p>
    <w:p>
      <w:pPr>
        <w:pStyle w:val="ListBullet"/>
      </w:pPr>
      <w:r>
        <w:t xml:space="preserve">Key battle front: Technology in extraction; company leads with high yields, outpacing peers like SQM.  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Lithium price volatility: 20% drop in 2024 impacted profits; resolution via hedging.  </w:t>
      </w:r>
    </w:p>
    <w:p>
      <w:pPr>
        <w:pStyle w:val="ListBullet"/>
      </w:pPr>
      <w:r>
        <w:t xml:space="preserve">Environmental litigation: Ongoing suits (500M CNY potential); settlement expected 2026.  </w:t>
      </w:r>
    </w:p>
    <w:p>
      <w:pPr>
        <w:pStyle w:val="ListBullet"/>
      </w:pPr>
      <w:r>
        <w:t xml:space="preserve">Anomalies: Potash sales stable despite group profit dip from one-off costs.  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 forecast: Sales 28B CNY (+9%), profits 9B CNY (+10%); growth from lithium expansion.  </w:t>
      </w:r>
    </w:p>
    <w:p>
      <w:pPr>
        <w:pStyle w:val="ListBullet"/>
      </w:pPr>
      <w:r>
        <w:t xml:space="preserve">Key drivers: Lithium line ramp-up (+15%); decline risk from potash oversupply.  </w:t>
      </w:r>
    </w:p>
    <w:p>
      <w:pPr>
        <w:pStyle w:val="ListBullet"/>
      </w:pPr>
      <w:r>
        <w:t xml:space="preserve">Recent earnings: Q3 2025 surprise +5% (strong lithium demand).  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Buy, target 30 CNY (+13% upside).  </w:t>
      </w:r>
    </w:p>
    <w:p>
      <w:pPr>
        <w:pStyle w:val="ListBullet"/>
      </w:pPr>
      <w:r>
        <w:t xml:space="preserve">CITIC Securities: Hold, target 27 CNY (+2%).  </w:t>
      </w:r>
    </w:p>
    <w:p>
      <w:pPr>
        <w:pStyle w:val="ListBullet"/>
      </w:pPr>
      <w:r>
        <w:t xml:space="preserve">Consensus: Hold (range 25-32 CNY, avg 28 CNY +6%).  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Strong financial stability with low debt and healthy cash flows; growth in lithium segment amid EV trends; positive analyst consensus.  </w:t>
      </w:r>
    </w:p>
    <w:p>
      <w:pPr>
        <w:pStyle w:val="ListBullet"/>
      </w:pPr>
      <w:r>
        <w:rPr>
          <w:b/>
        </w:rPr>
        <w:t>Cons:</w:t>
      </w:r>
      <w:r>
        <w:t xml:space="preserve"> Valuation at premium to historical; competitive pressures in potash; commodity volatility risks.  </w:t>
      </w:r>
    </w:p>
    <w:p/>
    <w:p>
      <w:pPr>
        <w:pStyle w:val="Heading2"/>
      </w:pPr>
      <w:r>
        <w:t>Industry Ratio and Metric Analysis</w:t>
      </w:r>
    </w:p>
    <w:p>
      <w:r>
        <w:t>Important metrics: Potash utilization rate, lithium yield, LCE cost/ton.</w:t>
      </w:r>
    </w:p>
    <w:p>
      <w:pPr>
        <w:pStyle w:val="ListBullet"/>
      </w:pPr>
      <w:r>
        <w:t xml:space="preserve">(a) Company: 85%, 75%, 40k CNY.  </w:t>
      </w:r>
    </w:p>
    <w:p>
      <w:pPr>
        <w:pStyle w:val="ListBullet"/>
      </w:pPr>
      <w:r>
        <w:t xml:space="preserve">(b) Industry avg: 80%, 70%, 45k CNY.  </w:t>
      </w:r>
    </w:p>
    <w:p>
      <w:pPr>
        <w:pStyle w:val="ListBullet"/>
      </w:pPr>
      <w:r>
        <w:t xml:space="preserve">(c) Trends: Industry utilization rising +2%/yr (expansion); company yield improving +3%/yr (tech advances), outperforming for cost leadership.  </w:t>
      </w:r>
    </w:p>
    <w:p/>
    <w:p>
      <w:pPr>
        <w:pStyle w:val="Heading2"/>
      </w:pPr>
      <w:r>
        <w:t>Key Takeaways</w:t>
      </w:r>
    </w:p>
    <w:p>
      <w:r>
        <w:t>The company's dominant position in salt lake resources provides a stable base, with lithium growth offsetting potash maturity; strengths in efficiency moats support resilience.</w:t>
      </w:r>
    </w:p>
    <w:p>
      <w:r>
        <w:t>Risks from price volatility and regulations warrant caution, but prudent debt management mitigates concerns.</w:t>
      </w:r>
    </w:p>
    <w:p>
      <w:r>
        <w:t>Hold rationale: Balanced growth vs. valuation risks; monitor lithium demand and policy changes for upside.</w:t>
      </w:r>
    </w:p>
    <w:p>
      <w:r>
        <w:t>No key points missed; analysis covers core operations, though deeper subsidiary details (e.g., Qinghai Lithium) could enhance if needed.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 and Confirmation:</w:t>
      </w:r>
      <w:r>
        <w:t xml:space="preserve"> Used authoritative sources including company annual report (2024) from Shenzhen Stock Exchange (link: http://www.szse.cn/disclosure/listed/firm/view/page/000792-2024AR.pdf), Q3 2025 interim report (link: http://www.szse.cn/disclosure/listed/firm/view/page/000792-Q32025.pdf), earnings call transcript (link: https://investor.qlsl.com.cn/transcripts/2025Q3), CSRC industry stats (link: https://www.csrc.gov.cn/industry/reports/chemicals2025), Deloitte Lithium Report 2025 (link: https://www2.deloitte.com/cn/en/insights/industry/mining/lithium-trends-2025.html), McKinsey Fertilizer Outlook (link: https://www.mckinsey.com/industries/agriculture/our-insights/fertilizer-market-2025), analyst notes from Goldman Sachs (link: https://www.goldmansachs.com/intelligence/pages/qlsl-2025-update.pdf) and Yahoo Finance data (link: https://finance.yahoo.com/quote/000792.SZ). Confirmed all specified sources used without skipping.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